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38EA5" w14:textId="3D9C43D7" w:rsidR="00A16CF4" w:rsidRPr="00A16CF4" w:rsidRDefault="008653F4" w:rsidP="00A16CF4">
      <w:pPr>
        <w:kinsoku w:val="0"/>
        <w:overflowPunct w:val="0"/>
        <w:spacing w:after="120" w:line="14" w:lineRule="auto"/>
        <w:rPr>
          <w:rFonts w:ascii="Times New Roman" w:eastAsia="Times New Roman" w:hAnsi="Times New Roman" w:cs="Times New Roman"/>
          <w:sz w:val="20"/>
          <w:szCs w:val="20"/>
          <w:lang w:val="en-US"/>
        </w:rPr>
      </w:pPr>
      <w:r w:rsidRPr="00A16CF4">
        <w:rPr>
          <w:rFonts w:ascii="Times New Roman" w:eastAsia="Times New Roman" w:hAnsi="Times New Roman" w:cs="Times New Roman"/>
          <w:noProof/>
          <w:sz w:val="24"/>
          <w:szCs w:val="24"/>
          <w:lang w:val="en-US"/>
        </w:rPr>
        <w:drawing>
          <wp:anchor distT="0" distB="0" distL="114300" distR="114300" simplePos="0" relativeHeight="251670528" behindDoc="0" locked="0" layoutInCell="1" allowOverlap="1" wp14:anchorId="3A846A0E" wp14:editId="2E334D71">
            <wp:simplePos x="0" y="0"/>
            <wp:positionH relativeFrom="margin">
              <wp:posOffset>4725416</wp:posOffset>
            </wp:positionH>
            <wp:positionV relativeFrom="margin">
              <wp:posOffset>-329210</wp:posOffset>
            </wp:positionV>
            <wp:extent cx="1440180" cy="615950"/>
            <wp:effectExtent l="0" t="0" r="762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180" cy="61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CF4">
        <w:rPr>
          <w:rFonts w:ascii="Times New Roman" w:eastAsia="Times New Roman" w:hAnsi="Times New Roman" w:cs="Times New Roman"/>
          <w:noProof/>
          <w:sz w:val="24"/>
          <w:szCs w:val="24"/>
          <w:lang w:val="en-US"/>
        </w:rPr>
        <w:drawing>
          <wp:anchor distT="0" distB="0" distL="114300" distR="114300" simplePos="0" relativeHeight="251669504" behindDoc="1" locked="0" layoutInCell="1" allowOverlap="1" wp14:anchorId="775F1201" wp14:editId="0728A0E6">
            <wp:simplePos x="0" y="0"/>
            <wp:positionH relativeFrom="page">
              <wp:posOffset>2530780</wp:posOffset>
            </wp:positionH>
            <wp:positionV relativeFrom="page">
              <wp:posOffset>570357</wp:posOffset>
            </wp:positionV>
            <wp:extent cx="1494155" cy="501814"/>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4155" cy="50181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6CF4">
        <w:rPr>
          <w:rFonts w:ascii="Times New Roman" w:eastAsia="Times New Roman" w:hAnsi="Times New Roman" w:cs="Times New Roman"/>
          <w:bCs/>
          <w:noProof/>
          <w:sz w:val="18"/>
          <w:szCs w:val="20"/>
          <w:lang w:val="en-US"/>
        </w:rPr>
        <w:drawing>
          <wp:anchor distT="0" distB="0" distL="114300" distR="114300" simplePos="0" relativeHeight="251666432" behindDoc="1" locked="0" layoutInCell="1" allowOverlap="1" wp14:anchorId="3B067637" wp14:editId="28185743">
            <wp:simplePos x="0" y="0"/>
            <wp:positionH relativeFrom="column">
              <wp:posOffset>3101645</wp:posOffset>
            </wp:positionH>
            <wp:positionV relativeFrom="paragraph">
              <wp:posOffset>-277978</wp:posOffset>
            </wp:positionV>
            <wp:extent cx="1579880" cy="737335"/>
            <wp:effectExtent l="0" t="0" r="1270" b="5715"/>
            <wp:wrapNone/>
            <wp:docPr id="10" name="Imagen 3"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3" descr="Ver las imágenes de origen"/>
                    <pic:cNvPicPr>
                      <a:picLocks noChangeAspect="1"/>
                    </pic:cNvPicPr>
                  </pic:nvPicPr>
                  <pic:blipFill rotWithShape="1">
                    <a:blip r:embed="rId10" cstate="print">
                      <a:extLst>
                        <a:ext uri="{28A0092B-C50C-407E-A947-70E740481C1C}">
                          <a14:useLocalDpi xmlns:a14="http://schemas.microsoft.com/office/drawing/2010/main" val="0"/>
                        </a:ext>
                      </a:extLst>
                    </a:blip>
                    <a:srcRect l="5618" t="22843" r="6990" b="14069"/>
                    <a:stretch/>
                  </pic:blipFill>
                  <pic:spPr bwMode="auto">
                    <a:xfrm>
                      <a:off x="0" y="0"/>
                      <a:ext cx="1580403" cy="73757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16CF4">
        <w:rPr>
          <w:rFonts w:ascii="Times New Roman" w:eastAsia="Times New Roman" w:hAnsi="Times New Roman" w:cs="Times New Roman"/>
          <w:noProof/>
          <w:sz w:val="24"/>
          <w:szCs w:val="24"/>
          <w:lang w:val="en-GB"/>
        </w:rPr>
        <w:drawing>
          <wp:anchor distT="0" distB="0" distL="114300" distR="114300" simplePos="0" relativeHeight="251671552" behindDoc="0" locked="0" layoutInCell="1" allowOverlap="1" wp14:anchorId="26D256E8" wp14:editId="1ED9081B">
            <wp:simplePos x="0" y="0"/>
            <wp:positionH relativeFrom="margin">
              <wp:posOffset>-139065</wp:posOffset>
            </wp:positionH>
            <wp:positionV relativeFrom="margin">
              <wp:posOffset>-161290</wp:posOffset>
            </wp:positionV>
            <wp:extent cx="1536065" cy="413385"/>
            <wp:effectExtent l="0" t="0" r="6985" b="5715"/>
            <wp:wrapSquare wrapText="bothSides"/>
            <wp:docPr id="855991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6065" cy="413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6CF4" w:rsidRPr="00A16CF4">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8480" behindDoc="1" locked="0" layoutInCell="0" allowOverlap="1" wp14:anchorId="731F611F" wp14:editId="15DDD907">
                <wp:simplePos x="0" y="0"/>
                <wp:positionH relativeFrom="page">
                  <wp:posOffset>5996940</wp:posOffset>
                </wp:positionH>
                <wp:positionV relativeFrom="page">
                  <wp:posOffset>307340</wp:posOffset>
                </wp:positionV>
                <wp:extent cx="1257300" cy="565150"/>
                <wp:effectExtent l="0" t="0" r="0" b="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5BEA2" w14:textId="77777777" w:rsidR="00A16CF4" w:rsidRDefault="00A16CF4" w:rsidP="00A16CF4">
                            <w:pPr>
                              <w:spacing w:line="1120" w:lineRule="atLeast"/>
                            </w:pPr>
                          </w:p>
                          <w:p w14:paraId="2DCF2C16" w14:textId="77777777" w:rsidR="00A16CF4" w:rsidRDefault="00A16CF4" w:rsidP="00A16CF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F611F" id="Rectangle 21" o:spid="_x0000_s1026" style="position:absolute;margin-left:472.2pt;margin-top:24.2pt;width:99pt;height:44.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" o:allowincell="f" filled="f" stroked="f">
                <v:textbox inset="0,0,0,0">
                  <w:txbxContent>
                    <w:p w14:paraId="69E5BEA2" w14:textId="77777777" w:rsidR="00A16CF4" w:rsidRDefault="00A16CF4" w:rsidP="00A16CF4">
                      <w:pPr>
                        <w:spacing w:line="1120" w:lineRule="atLeast"/>
                      </w:pPr>
                    </w:p>
                    <w:p w14:paraId="2DCF2C16" w14:textId="77777777" w:rsidR="00A16CF4" w:rsidRDefault="00A16CF4" w:rsidP="00A16CF4"/>
                  </w:txbxContent>
                </v:textbox>
                <w10:wrap anchorx="page" anchory="page"/>
              </v:rect>
            </w:pict>
          </mc:Fallback>
        </mc:AlternateContent>
      </w:r>
    </w:p>
    <w:p w14:paraId="3B94FADB" w14:textId="21C1D6C0" w:rsidR="00A16CF4" w:rsidRPr="00A16CF4" w:rsidRDefault="00A16CF4" w:rsidP="00A16CF4">
      <w:pPr>
        <w:spacing w:after="0" w:line="240" w:lineRule="auto"/>
        <w:rPr>
          <w:rFonts w:ascii="Arial" w:eastAsia="Times New Roman" w:hAnsi="Arial" w:cs="Arial"/>
          <w:bCs/>
          <w:sz w:val="18"/>
          <w:szCs w:val="28"/>
          <w:lang w:val="en-US"/>
        </w:rPr>
      </w:pPr>
      <w:r w:rsidRPr="00A16CF4">
        <w:rPr>
          <w:rFonts w:ascii="Times New Roman" w:eastAsia="Times New Roman" w:hAnsi="Times New Roman" w:cs="Times New Roman"/>
          <w:bCs/>
          <w:noProof/>
          <w:sz w:val="18"/>
          <w:szCs w:val="20"/>
          <w:lang w:val="en-US"/>
        </w:rPr>
        <mc:AlternateContent>
          <mc:Choice Requires="wps">
            <w:drawing>
              <wp:anchor distT="0" distB="0" distL="114300" distR="114300" simplePos="0" relativeHeight="251665408" behindDoc="0" locked="0" layoutInCell="1" allowOverlap="1" wp14:anchorId="7ADB9145" wp14:editId="5460F8F4">
                <wp:simplePos x="0" y="0"/>
                <wp:positionH relativeFrom="column">
                  <wp:posOffset>4709795</wp:posOffset>
                </wp:positionH>
                <wp:positionV relativeFrom="paragraph">
                  <wp:posOffset>-655320</wp:posOffset>
                </wp:positionV>
                <wp:extent cx="1656715" cy="448310"/>
                <wp:effectExtent l="0" t="0" r="635" b="8890"/>
                <wp:wrapNone/>
                <wp:docPr id="1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671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762FA" w14:textId="77777777" w:rsidR="00A16CF4" w:rsidRDefault="00A16CF4" w:rsidP="00A16C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DB9145" id="Rectangle 4" o:spid="_x0000_s1027" style="position:absolute;margin-left:370.85pt;margin-top:-51.6pt;width:130.45pt;height:3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" stroked="f">
                <v:textbox>
                  <w:txbxContent>
                    <w:p w14:paraId="13E762FA" w14:textId="77777777" w:rsidR="00A16CF4" w:rsidRDefault="00A16CF4" w:rsidP="00A16CF4"/>
                  </w:txbxContent>
                </v:textbox>
              </v:rect>
            </w:pict>
          </mc:Fallback>
        </mc:AlternateContent>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t xml:space="preserve">           </w:t>
      </w:r>
    </w:p>
    <w:p w14:paraId="5D6889D6" w14:textId="77777777" w:rsidR="00A16CF4" w:rsidRPr="00A16CF4" w:rsidRDefault="00A16CF4" w:rsidP="00A16CF4">
      <w:pPr>
        <w:spacing w:after="0" w:line="240" w:lineRule="auto"/>
        <w:jc w:val="right"/>
        <w:rPr>
          <w:rFonts w:ascii="Arial" w:eastAsia="Times New Roman" w:hAnsi="Arial" w:cs="Arial"/>
          <w:b/>
          <w:bCs/>
          <w:sz w:val="18"/>
          <w:szCs w:val="18"/>
          <w:lang w:val="en-GB"/>
        </w:rPr>
      </w:pP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r>
      <w:r w:rsidRPr="00A16CF4">
        <w:rPr>
          <w:rFonts w:ascii="Arial" w:eastAsia="Times New Roman" w:hAnsi="Arial" w:cs="Arial"/>
          <w:bCs/>
          <w:sz w:val="18"/>
          <w:szCs w:val="28"/>
          <w:lang w:val="en-US"/>
        </w:rPr>
        <w:tab/>
        <w:t xml:space="preserve">           </w:t>
      </w:r>
      <w:r w:rsidRPr="00A16CF4">
        <w:rPr>
          <w:rFonts w:ascii="Arial" w:eastAsia="Times New Roman" w:hAnsi="Arial" w:cs="Arial"/>
          <w:b/>
          <w:bCs/>
          <w:sz w:val="18"/>
          <w:szCs w:val="18"/>
          <w:lang w:val="en-US"/>
        </w:rPr>
        <w:t xml:space="preserve">ISSN:   </w:t>
      </w:r>
      <w:r w:rsidRPr="00A16CF4">
        <w:rPr>
          <w:rFonts w:ascii="Arial" w:eastAsia="Times New Roman" w:hAnsi="Arial" w:cs="Arial"/>
          <w:b/>
          <w:bCs/>
          <w:sz w:val="18"/>
          <w:szCs w:val="18"/>
          <w:lang w:val="en-GB"/>
        </w:rPr>
        <w:t>1995-1132</w:t>
      </w:r>
    </w:p>
    <w:p w14:paraId="0E7CAE43" w14:textId="77777777" w:rsidR="00A16CF4" w:rsidRPr="00A16CF4" w:rsidRDefault="00A16CF4" w:rsidP="00A16CF4">
      <w:pPr>
        <w:spacing w:after="0" w:line="240" w:lineRule="auto"/>
        <w:ind w:firstLine="720"/>
        <w:jc w:val="center"/>
        <w:rPr>
          <w:rFonts w:ascii="Arial" w:eastAsia="Times New Roman" w:hAnsi="Arial" w:cs="Arial"/>
          <w:b/>
          <w:bCs/>
          <w:sz w:val="18"/>
          <w:szCs w:val="18"/>
          <w:lang w:val="en-GB"/>
        </w:rPr>
      </w:pPr>
    </w:p>
    <w:p w14:paraId="35BCA990" w14:textId="79A0789C" w:rsidR="008653F4" w:rsidRDefault="00A16CF4" w:rsidP="00A16CF4">
      <w:pPr>
        <w:spacing w:after="0" w:line="240" w:lineRule="auto"/>
        <w:ind w:firstLine="720"/>
        <w:jc w:val="right"/>
        <w:rPr>
          <w:rFonts w:ascii="Arial" w:eastAsia="Times New Roman" w:hAnsi="Arial" w:cs="Arial"/>
          <w:b/>
          <w:sz w:val="28"/>
          <w:szCs w:val="28"/>
          <w:lang w:val="en-US"/>
        </w:rPr>
      </w:pPr>
      <w:r w:rsidRPr="00A16CF4">
        <w:rPr>
          <w:rFonts w:ascii="Arial" w:eastAsia="Times New Roman" w:hAnsi="Arial" w:cs="Arial"/>
          <w:b/>
          <w:sz w:val="28"/>
          <w:szCs w:val="28"/>
          <w:lang w:val="en-US"/>
        </w:rPr>
        <w:t xml:space="preserve">    CRFM Technical &amp; Advisory Document </w:t>
      </w:r>
    </w:p>
    <w:p w14:paraId="6035F9CF" w14:textId="6E894A12" w:rsidR="00A16CF4" w:rsidRPr="00A16CF4" w:rsidRDefault="00A16CF4" w:rsidP="00A16CF4">
      <w:pPr>
        <w:spacing w:after="0" w:line="240" w:lineRule="auto"/>
        <w:ind w:firstLine="720"/>
        <w:jc w:val="right"/>
        <w:rPr>
          <w:rFonts w:ascii="Arial" w:eastAsia="Times New Roman" w:hAnsi="Arial" w:cs="Arial"/>
          <w:b/>
          <w:sz w:val="28"/>
          <w:szCs w:val="28"/>
          <w:lang w:val="en-US"/>
        </w:rPr>
      </w:pPr>
      <w:r w:rsidRPr="00A16CF4">
        <w:rPr>
          <w:rFonts w:ascii="Arial" w:eastAsia="Times New Roman" w:hAnsi="Arial" w:cs="Arial"/>
          <w:b/>
          <w:sz w:val="28"/>
          <w:szCs w:val="28"/>
          <w:lang w:val="en-US"/>
        </w:rPr>
        <w:t xml:space="preserve">No. 2025 / </w:t>
      </w:r>
      <w:r>
        <w:rPr>
          <w:rFonts w:ascii="Arial" w:eastAsia="Times New Roman" w:hAnsi="Arial" w:cs="Arial"/>
          <w:b/>
          <w:sz w:val="28"/>
          <w:szCs w:val="28"/>
          <w:lang w:val="en-US"/>
        </w:rPr>
        <w:t>08</w:t>
      </w:r>
    </w:p>
    <w:p w14:paraId="11BD6041" w14:textId="23EB8F33" w:rsidR="00A16CF4" w:rsidRPr="00A16CF4" w:rsidRDefault="008653F4" w:rsidP="00A16CF4">
      <w:pPr>
        <w:spacing w:after="0" w:line="240" w:lineRule="auto"/>
        <w:ind w:firstLine="720"/>
        <w:jc w:val="right"/>
        <w:rPr>
          <w:rFonts w:ascii="Arial" w:eastAsia="Times New Roman" w:hAnsi="Arial" w:cs="Arial"/>
          <w:bCs/>
          <w:sz w:val="28"/>
          <w:szCs w:val="20"/>
          <w:lang w:val="en-US"/>
        </w:rPr>
      </w:pPr>
      <w:r w:rsidRPr="00A16CF4">
        <w:rPr>
          <w:rFonts w:ascii="Arial" w:eastAsia="Times New Roman" w:hAnsi="Arial" w:cs="Arial"/>
          <w:bCs/>
          <w:noProof/>
          <w:sz w:val="20"/>
          <w:szCs w:val="20"/>
          <w:lang w:val="en-US"/>
        </w:rPr>
        <mc:AlternateContent>
          <mc:Choice Requires="wps">
            <w:drawing>
              <wp:anchor distT="4294967291" distB="4294967291" distL="114300" distR="114300" simplePos="0" relativeHeight="251667456" behindDoc="0" locked="0" layoutInCell="1" allowOverlap="1" wp14:anchorId="273B9045" wp14:editId="488BC377">
                <wp:simplePos x="0" y="0"/>
                <wp:positionH relativeFrom="column">
                  <wp:posOffset>-197510</wp:posOffset>
                </wp:positionH>
                <wp:positionV relativeFrom="paragraph">
                  <wp:posOffset>74218</wp:posOffset>
                </wp:positionV>
                <wp:extent cx="6195974" cy="21539"/>
                <wp:effectExtent l="0" t="19050" r="52705" b="55245"/>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95974" cy="21539"/>
                        </a:xfrm>
                        <a:prstGeom prst="line">
                          <a:avLst/>
                        </a:prstGeom>
                        <a:noFill/>
                        <a:ln w="57150" cmpd="thickThin">
                          <a:solidFill>
                            <a:schemeClr val="tx2">
                              <a:lumMod val="90000"/>
                              <a:lumOff val="10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E8C34" id="Line 3" o:spid="_x0000_s1026" style="position:absolute;flip:y;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55pt,5.85pt" to="472.3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" strokecolor="#153e64 [2911]" strokeweight="4.5pt">
                <v:stroke linestyle="thickThin"/>
              </v:line>
            </w:pict>
          </mc:Fallback>
        </mc:AlternateContent>
      </w:r>
    </w:p>
    <w:p w14:paraId="2FF74F24" w14:textId="77777777" w:rsidR="007260E6" w:rsidRPr="007260E6" w:rsidRDefault="007260E6" w:rsidP="007260E6">
      <w:pPr>
        <w:spacing w:after="0" w:line="240" w:lineRule="auto"/>
        <w:jc w:val="center"/>
        <w:rPr>
          <w:rFonts w:ascii="Times New Roman" w:eastAsia="Calibri" w:hAnsi="Times New Roman" w:cs="Times New Roman"/>
          <w:sz w:val="24"/>
          <w:szCs w:val="24"/>
          <w:vertAlign w:val="superscript"/>
          <w:lang w:val="en-GB"/>
        </w:rPr>
      </w:pPr>
    </w:p>
    <w:p w14:paraId="3DA3F0CB" w14:textId="77777777" w:rsidR="007260E6" w:rsidRPr="007260E6" w:rsidRDefault="007260E6" w:rsidP="007260E6">
      <w:pPr>
        <w:spacing w:after="0" w:line="240" w:lineRule="auto"/>
        <w:jc w:val="center"/>
        <w:rPr>
          <w:rFonts w:ascii="Arial" w:eastAsia="Calibri" w:hAnsi="Arial" w:cs="Arial"/>
          <w:b/>
          <w:color w:val="006600"/>
          <w:sz w:val="36"/>
          <w:szCs w:val="36"/>
          <w:lang w:val="en-GB"/>
        </w:rPr>
      </w:pPr>
    </w:p>
    <w:p w14:paraId="555977FB" w14:textId="77777777" w:rsidR="007260E6" w:rsidRPr="007260E6" w:rsidRDefault="007260E6" w:rsidP="007260E6">
      <w:pPr>
        <w:spacing w:after="0" w:line="240" w:lineRule="auto"/>
        <w:jc w:val="center"/>
        <w:rPr>
          <w:rFonts w:ascii="Arial" w:eastAsia="Calibri" w:hAnsi="Arial" w:cs="Arial"/>
          <w:b/>
          <w:color w:val="006600"/>
          <w:sz w:val="36"/>
          <w:szCs w:val="36"/>
          <w:lang w:val="en-GB"/>
        </w:rPr>
      </w:pPr>
    </w:p>
    <w:p w14:paraId="645CC906" w14:textId="77777777" w:rsidR="007260E6" w:rsidRPr="007260E6" w:rsidRDefault="007260E6" w:rsidP="007260E6">
      <w:pPr>
        <w:spacing w:after="0" w:line="240" w:lineRule="auto"/>
        <w:jc w:val="center"/>
        <w:rPr>
          <w:rFonts w:ascii="Arial" w:eastAsia="Calibri" w:hAnsi="Arial" w:cs="Arial"/>
          <w:b/>
          <w:color w:val="006600"/>
          <w:sz w:val="36"/>
          <w:szCs w:val="36"/>
          <w:lang w:val="en-GB"/>
        </w:rPr>
      </w:pPr>
    </w:p>
    <w:p w14:paraId="5698DA26" w14:textId="77777777" w:rsidR="007260E6" w:rsidRPr="007260E6" w:rsidRDefault="007260E6" w:rsidP="007260E6">
      <w:pPr>
        <w:spacing w:after="0" w:line="240" w:lineRule="auto"/>
        <w:jc w:val="center"/>
        <w:rPr>
          <w:rFonts w:ascii="Arial" w:eastAsia="Calibri" w:hAnsi="Arial" w:cs="Arial"/>
          <w:b/>
          <w:color w:val="006600"/>
          <w:sz w:val="36"/>
          <w:szCs w:val="36"/>
          <w:lang w:val="en-GB"/>
        </w:rPr>
      </w:pPr>
    </w:p>
    <w:p w14:paraId="40F5BE05" w14:textId="77777777" w:rsidR="007260E6" w:rsidRPr="007260E6" w:rsidRDefault="007260E6" w:rsidP="007260E6">
      <w:pPr>
        <w:spacing w:after="0" w:line="240" w:lineRule="auto"/>
        <w:jc w:val="center"/>
        <w:rPr>
          <w:rFonts w:ascii="Arial" w:eastAsia="Calibri" w:hAnsi="Arial" w:cs="Arial"/>
          <w:b/>
          <w:color w:val="006600"/>
          <w:sz w:val="36"/>
          <w:szCs w:val="36"/>
          <w:lang w:val="en-GB"/>
        </w:rPr>
      </w:pPr>
    </w:p>
    <w:p w14:paraId="2E8793F8" w14:textId="77777777" w:rsidR="007260E6" w:rsidRPr="007260E6" w:rsidRDefault="007260E6" w:rsidP="007260E6">
      <w:pPr>
        <w:spacing w:after="0" w:line="240" w:lineRule="auto"/>
        <w:jc w:val="center"/>
        <w:rPr>
          <w:rFonts w:ascii="Arial" w:eastAsia="Calibri" w:hAnsi="Arial" w:cs="Arial"/>
          <w:b/>
          <w:color w:val="006600"/>
          <w:sz w:val="36"/>
          <w:szCs w:val="36"/>
          <w:lang w:val="en-GB"/>
        </w:rPr>
      </w:pPr>
    </w:p>
    <w:p w14:paraId="5FC596C0" w14:textId="77777777" w:rsidR="00E91AAB" w:rsidRDefault="007260E6" w:rsidP="007260E6">
      <w:pPr>
        <w:spacing w:after="0" w:line="240" w:lineRule="auto"/>
        <w:jc w:val="center"/>
        <w:rPr>
          <w:rFonts w:ascii="Arial" w:eastAsia="Calibri" w:hAnsi="Arial" w:cs="Arial"/>
          <w:b/>
          <w:color w:val="006600"/>
          <w:sz w:val="36"/>
          <w:szCs w:val="36"/>
          <w:lang w:val="en-GB"/>
        </w:rPr>
      </w:pPr>
      <w:r>
        <w:rPr>
          <w:rFonts w:ascii="Arial" w:eastAsia="Calibri" w:hAnsi="Arial" w:cs="Arial"/>
          <w:b/>
          <w:color w:val="006600"/>
          <w:sz w:val="36"/>
          <w:szCs w:val="36"/>
          <w:lang w:val="en-GB"/>
        </w:rPr>
        <w:t>JAMAICA</w:t>
      </w:r>
      <w:r w:rsidRPr="007260E6">
        <w:rPr>
          <w:rFonts w:ascii="Arial" w:eastAsia="Calibri" w:hAnsi="Arial" w:cs="Arial"/>
          <w:b/>
          <w:color w:val="006600"/>
          <w:sz w:val="36"/>
          <w:szCs w:val="36"/>
          <w:lang w:val="en-GB"/>
        </w:rPr>
        <w:t xml:space="preserve"> </w:t>
      </w:r>
    </w:p>
    <w:p w14:paraId="224455E1" w14:textId="7A9FCE98" w:rsidR="007260E6" w:rsidRPr="007260E6" w:rsidRDefault="007260E6" w:rsidP="007260E6">
      <w:pPr>
        <w:spacing w:after="0" w:line="240" w:lineRule="auto"/>
        <w:jc w:val="center"/>
        <w:rPr>
          <w:rFonts w:ascii="Arial" w:eastAsia="Calibri" w:hAnsi="Arial" w:cs="Arial"/>
          <w:b/>
          <w:color w:val="006600"/>
          <w:sz w:val="36"/>
          <w:szCs w:val="36"/>
          <w:lang w:val="en-US"/>
        </w:rPr>
      </w:pPr>
      <w:r w:rsidRPr="007260E6">
        <w:rPr>
          <w:rFonts w:ascii="Arial" w:eastAsia="Calibri" w:hAnsi="Arial" w:cs="Arial"/>
          <w:b/>
          <w:color w:val="006600"/>
          <w:sz w:val="36"/>
          <w:szCs w:val="36"/>
          <w:lang w:val="en-GB"/>
        </w:rPr>
        <w:t>MARINE SPATIAL PLANNING PROFILE</w:t>
      </w:r>
    </w:p>
    <w:p w14:paraId="329F68D6" w14:textId="77777777" w:rsidR="007260E6" w:rsidRPr="007260E6" w:rsidRDefault="007260E6" w:rsidP="007260E6">
      <w:pPr>
        <w:spacing w:after="0" w:line="240" w:lineRule="auto"/>
        <w:jc w:val="center"/>
        <w:rPr>
          <w:rFonts w:ascii="Arial" w:eastAsia="Calibri" w:hAnsi="Arial" w:cs="Arial"/>
          <w:b/>
          <w:sz w:val="36"/>
          <w:szCs w:val="36"/>
          <w:lang w:val="en-US"/>
        </w:rPr>
      </w:pPr>
    </w:p>
    <w:p w14:paraId="2885BA40"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D47014B"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18095E22"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3A6D078F"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03C7BE30"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0D7E49F"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156A6F8C"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F4601C9"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BBF5124"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659892BD"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9425380"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708A0C1F"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7AFFEB0F"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46E98A92"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0875E114"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D486E2B"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4EB74069"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672EDF59"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0C3B460E"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58FB5011"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3C3B72DE"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4FB28E8E"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1013CA9C"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62508129"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4577EE77" w14:textId="77777777" w:rsidR="007260E6" w:rsidRPr="007260E6" w:rsidRDefault="007260E6" w:rsidP="007260E6">
      <w:pPr>
        <w:pBdr>
          <w:bottom w:val="single" w:sz="12" w:space="31" w:color="auto"/>
        </w:pBdr>
        <w:spacing w:after="0" w:line="240" w:lineRule="auto"/>
        <w:jc w:val="both"/>
        <w:rPr>
          <w:rFonts w:ascii="Arial" w:eastAsia="Calibri" w:hAnsi="Arial" w:cs="Arial"/>
          <w:b/>
          <w:bCs/>
          <w:color w:val="00FF00"/>
          <w:sz w:val="20"/>
          <w:szCs w:val="20"/>
          <w:lang w:val="en-US"/>
        </w:rPr>
      </w:pPr>
    </w:p>
    <w:p w14:paraId="25042CA4" w14:textId="77777777" w:rsidR="007260E6" w:rsidRPr="007260E6" w:rsidRDefault="007260E6" w:rsidP="007260E6">
      <w:pPr>
        <w:spacing w:after="0" w:line="240" w:lineRule="auto"/>
        <w:jc w:val="center"/>
        <w:rPr>
          <w:rFonts w:ascii="Arial" w:eastAsia="Calibri" w:hAnsi="Arial" w:cs="Arial"/>
          <w:b/>
          <w:sz w:val="24"/>
          <w:szCs w:val="24"/>
          <w:lang w:val="en-US"/>
        </w:rPr>
      </w:pPr>
      <w:r w:rsidRPr="007260E6">
        <w:rPr>
          <w:rFonts w:ascii="Arial" w:eastAsia="Calibri" w:hAnsi="Arial" w:cs="Arial"/>
          <w:b/>
          <w:sz w:val="24"/>
          <w:szCs w:val="24"/>
          <w:lang w:val="en-US"/>
        </w:rPr>
        <w:t>CRFM Secretariat</w:t>
      </w:r>
    </w:p>
    <w:p w14:paraId="4B45875C" w14:textId="1B0E818E" w:rsidR="007A093A" w:rsidRDefault="007260E6" w:rsidP="0043317D">
      <w:pPr>
        <w:spacing w:after="0" w:line="240" w:lineRule="auto"/>
        <w:jc w:val="center"/>
        <w:rPr>
          <w:rFonts w:ascii="Times New Roman" w:eastAsia="Times New Roman" w:hAnsi="Times New Roman" w:cs="Times New Roman"/>
          <w:sz w:val="24"/>
          <w:szCs w:val="24"/>
        </w:rPr>
      </w:pPr>
      <w:r w:rsidRPr="007260E6">
        <w:rPr>
          <w:rFonts w:ascii="Arial" w:eastAsia="Calibri" w:hAnsi="Arial" w:cs="Arial"/>
          <w:b/>
          <w:sz w:val="24"/>
          <w:szCs w:val="24"/>
          <w:lang w:val="en-US"/>
        </w:rPr>
        <w:t>Belize</w:t>
      </w:r>
    </w:p>
    <w:p w14:paraId="58F1BB40" w14:textId="77777777" w:rsidR="0043317D" w:rsidRDefault="0043317D" w:rsidP="007260E6">
      <w:pPr>
        <w:rPr>
          <w:rFonts w:ascii="Arial" w:eastAsia="Calibri" w:hAnsi="Arial" w:cs="Arial"/>
          <w:b/>
          <w:sz w:val="36"/>
          <w:szCs w:val="36"/>
          <w:lang w:val="en-US"/>
        </w:rPr>
        <w:sectPr w:rsidR="0043317D" w:rsidSect="0043317D">
          <w:headerReference w:type="even" r:id="rId12"/>
          <w:headerReference w:type="default" r:id="rId13"/>
          <w:footerReference w:type="even" r:id="rId14"/>
          <w:footerReference w:type="default" r:id="rId15"/>
          <w:headerReference w:type="first" r:id="rId16"/>
          <w:footerReference w:type="first" r:id="rId17"/>
          <w:pgSz w:w="12240" w:h="15840"/>
          <w:pgMar w:top="1170" w:right="1440" w:bottom="1440" w:left="1440" w:header="144" w:footer="720" w:gutter="0"/>
          <w:pgNumType w:start="1"/>
          <w:cols w:space="720"/>
          <w:titlePg/>
          <w:docGrid w:linePitch="299"/>
        </w:sectPr>
      </w:pPr>
    </w:p>
    <w:p w14:paraId="4CA96EDA" w14:textId="77777777" w:rsidR="0043317D" w:rsidRDefault="0043317D" w:rsidP="007260E6">
      <w:pPr>
        <w:rPr>
          <w:rFonts w:ascii="Arial" w:eastAsia="Calibri" w:hAnsi="Arial" w:cs="Arial"/>
          <w:b/>
          <w:sz w:val="36"/>
          <w:szCs w:val="36"/>
          <w:lang w:val="en-US"/>
        </w:rPr>
        <w:sectPr w:rsidR="0043317D" w:rsidSect="0043317D">
          <w:type w:val="continuous"/>
          <w:pgSz w:w="12240" w:h="15840"/>
          <w:pgMar w:top="1170" w:right="1440" w:bottom="1440" w:left="1440" w:header="144" w:footer="720" w:gutter="0"/>
          <w:pgNumType w:start="1"/>
          <w:cols w:space="720"/>
          <w:titlePg/>
          <w:docGrid w:linePitch="299"/>
        </w:sectPr>
      </w:pPr>
    </w:p>
    <w:p w14:paraId="2B7312C7" w14:textId="77777777" w:rsidR="007260E6" w:rsidRPr="00A251EF" w:rsidRDefault="007260E6" w:rsidP="007260E6">
      <w:pPr>
        <w:rPr>
          <w:rFonts w:ascii="Arial" w:eastAsia="Calibri" w:hAnsi="Arial" w:cs="Arial"/>
          <w:b/>
          <w:sz w:val="36"/>
          <w:szCs w:val="36"/>
          <w:lang w:val="en-US"/>
        </w:rPr>
      </w:pPr>
      <w:r w:rsidRPr="00A251EF">
        <w:rPr>
          <w:rFonts w:ascii="Arial" w:eastAsia="Calibri" w:hAnsi="Arial" w:cs="Arial"/>
          <w:b/>
          <w:sz w:val="36"/>
          <w:szCs w:val="36"/>
          <w:lang w:val="en-US"/>
        </w:rPr>
        <w:lastRenderedPageBreak/>
        <w:t>CRFM Technical &amp; Advisory Document -</w:t>
      </w:r>
    </w:p>
    <w:p w14:paraId="78A432C2" w14:textId="4EF9BEFE" w:rsidR="007260E6" w:rsidRPr="00A251EF" w:rsidRDefault="007260E6" w:rsidP="007260E6">
      <w:pPr>
        <w:jc w:val="both"/>
        <w:rPr>
          <w:rFonts w:ascii="Arial" w:eastAsia="Calibri" w:hAnsi="Arial" w:cs="Arial"/>
          <w:b/>
          <w:sz w:val="36"/>
          <w:szCs w:val="36"/>
          <w:vertAlign w:val="superscript"/>
          <w:lang w:val="en-US"/>
        </w:rPr>
      </w:pPr>
      <w:r w:rsidRPr="00A251EF">
        <w:rPr>
          <w:rFonts w:ascii="Arial" w:eastAsia="Calibri" w:hAnsi="Arial" w:cs="Arial"/>
          <w:b/>
          <w:sz w:val="36"/>
          <w:szCs w:val="36"/>
          <w:lang w:val="en-US"/>
        </w:rPr>
        <w:t>Number 2025 / 0</w:t>
      </w:r>
      <w:r>
        <w:rPr>
          <w:rFonts w:ascii="Arial" w:eastAsia="Calibri" w:hAnsi="Arial" w:cs="Arial"/>
          <w:b/>
          <w:sz w:val="36"/>
          <w:szCs w:val="36"/>
          <w:lang w:val="en-US"/>
        </w:rPr>
        <w:t>8</w:t>
      </w:r>
    </w:p>
    <w:p w14:paraId="4E3C2DD8" w14:textId="77777777" w:rsidR="007260E6" w:rsidRPr="00A251EF" w:rsidRDefault="007260E6" w:rsidP="007260E6">
      <w:pPr>
        <w:rPr>
          <w:rFonts w:ascii="Arial" w:eastAsia="Calibri" w:hAnsi="Arial" w:cs="Arial"/>
          <w:sz w:val="36"/>
          <w:szCs w:val="36"/>
          <w:vertAlign w:val="superscript"/>
          <w:lang w:val="en-US"/>
        </w:rPr>
      </w:pPr>
    </w:p>
    <w:p w14:paraId="75B78A90" w14:textId="77777777" w:rsidR="007260E6" w:rsidRPr="00A251EF" w:rsidRDefault="007260E6" w:rsidP="007260E6">
      <w:pPr>
        <w:rPr>
          <w:rFonts w:ascii="Arial" w:eastAsia="Calibri" w:hAnsi="Arial" w:cs="Arial"/>
          <w:sz w:val="36"/>
          <w:szCs w:val="36"/>
          <w:vertAlign w:val="superscript"/>
          <w:lang w:val="en-US"/>
        </w:rPr>
      </w:pPr>
    </w:p>
    <w:p w14:paraId="1D4BA103" w14:textId="46B7483F" w:rsidR="007260E6" w:rsidRPr="00A251EF" w:rsidRDefault="007260E6" w:rsidP="007260E6">
      <w:pPr>
        <w:jc w:val="both"/>
        <w:rPr>
          <w:rFonts w:ascii="Arial" w:eastAsia="Calibri" w:hAnsi="Arial" w:cs="Arial"/>
          <w:b/>
          <w:sz w:val="28"/>
          <w:szCs w:val="28"/>
        </w:rPr>
      </w:pPr>
      <w:r>
        <w:rPr>
          <w:rFonts w:ascii="Arial" w:eastAsia="Calibri" w:hAnsi="Arial" w:cs="Arial"/>
          <w:b/>
          <w:sz w:val="28"/>
          <w:szCs w:val="28"/>
          <w:lang w:val="en-US"/>
        </w:rPr>
        <w:t>Jamaica Marine Spatial Planning Profile</w:t>
      </w:r>
    </w:p>
    <w:p w14:paraId="796CBCBD" w14:textId="77777777" w:rsidR="007260E6" w:rsidRPr="00A251EF" w:rsidRDefault="007260E6" w:rsidP="007260E6">
      <w:pPr>
        <w:rPr>
          <w:rFonts w:ascii="Arial" w:eastAsia="Calibri" w:hAnsi="Arial" w:cs="Arial"/>
          <w:sz w:val="36"/>
          <w:szCs w:val="36"/>
          <w:vertAlign w:val="superscript"/>
          <w:lang w:val="en-US"/>
        </w:rPr>
      </w:pPr>
    </w:p>
    <w:p w14:paraId="301EF572" w14:textId="77777777" w:rsidR="007260E6" w:rsidRPr="007260E6" w:rsidRDefault="007260E6" w:rsidP="007260E6">
      <w:pPr>
        <w:spacing w:after="240" w:line="240" w:lineRule="auto"/>
        <w:rPr>
          <w:rFonts w:ascii="Arial" w:eastAsia="Times New Roman" w:hAnsi="Arial" w:cs="Arial"/>
          <w:sz w:val="24"/>
          <w:szCs w:val="24"/>
        </w:rPr>
      </w:pPr>
      <w:r>
        <w:br/>
      </w:r>
      <w:r>
        <w:rPr>
          <w:rFonts w:ascii="Times New Roman" w:eastAsia="Times New Roman" w:hAnsi="Times New Roman" w:cs="Times New Roman"/>
          <w:sz w:val="24"/>
          <w:szCs w:val="24"/>
        </w:rPr>
        <w:br/>
      </w:r>
      <w:r w:rsidRPr="007260E6">
        <w:rPr>
          <w:rFonts w:ascii="Arial" w:eastAsia="Times New Roman" w:hAnsi="Arial" w:cs="Arial"/>
          <w:sz w:val="24"/>
          <w:szCs w:val="24"/>
        </w:rPr>
        <w:t>Prepared by:</w:t>
      </w:r>
    </w:p>
    <w:p w14:paraId="2EBAD0C9" w14:textId="77777777" w:rsidR="007260E6" w:rsidRPr="007260E6" w:rsidRDefault="007260E6" w:rsidP="007260E6">
      <w:pPr>
        <w:spacing w:after="0" w:line="240" w:lineRule="auto"/>
        <w:rPr>
          <w:rFonts w:ascii="Arial" w:eastAsia="Times New Roman" w:hAnsi="Arial" w:cs="Arial"/>
          <w:sz w:val="24"/>
          <w:szCs w:val="24"/>
        </w:rPr>
      </w:pPr>
      <w:r w:rsidRPr="007260E6">
        <w:rPr>
          <w:rFonts w:ascii="Arial" w:eastAsia="Times New Roman" w:hAnsi="Arial" w:cs="Arial"/>
          <w:sz w:val="24"/>
          <w:szCs w:val="24"/>
        </w:rPr>
        <w:t>Joseph Onwona Ansong, Senior Consultant, Howell Marine Consulting</w:t>
      </w:r>
    </w:p>
    <w:p w14:paraId="4FE8759A" w14:textId="7920672F" w:rsidR="007260E6" w:rsidRDefault="007260E6" w:rsidP="007260E6">
      <w:pPr>
        <w:spacing w:after="0" w:line="240" w:lineRule="auto"/>
        <w:rPr>
          <w:rFonts w:ascii="Arial" w:eastAsia="Times New Roman" w:hAnsi="Arial" w:cs="Arial"/>
          <w:sz w:val="24"/>
          <w:szCs w:val="24"/>
        </w:rPr>
      </w:pPr>
      <w:r w:rsidRPr="007260E6">
        <w:rPr>
          <w:rFonts w:ascii="Arial" w:eastAsia="Times New Roman" w:hAnsi="Arial" w:cs="Arial"/>
          <w:sz w:val="24"/>
          <w:szCs w:val="24"/>
        </w:rPr>
        <w:t xml:space="preserve">Email: </w:t>
      </w:r>
      <w:hyperlink r:id="rId18" w:history="1">
        <w:r w:rsidRPr="00BB64D2">
          <w:rPr>
            <w:rStyle w:val="Hyperlink"/>
            <w:rFonts w:ascii="Arial" w:eastAsia="Times New Roman" w:hAnsi="Arial" w:cs="Arial"/>
            <w:sz w:val="24"/>
            <w:szCs w:val="24"/>
          </w:rPr>
          <w:t>kofi@howellmarine.co.uk</w:t>
        </w:r>
      </w:hyperlink>
      <w:r>
        <w:rPr>
          <w:rFonts w:ascii="Arial" w:eastAsia="Times New Roman" w:hAnsi="Arial" w:cs="Arial"/>
          <w:sz w:val="24"/>
          <w:szCs w:val="24"/>
        </w:rPr>
        <w:t xml:space="preserve"> </w:t>
      </w:r>
    </w:p>
    <w:p w14:paraId="50A3E4D1" w14:textId="77777777" w:rsidR="007260E6" w:rsidRPr="007260E6" w:rsidRDefault="007260E6" w:rsidP="007260E6">
      <w:pPr>
        <w:spacing w:after="0" w:line="240" w:lineRule="auto"/>
        <w:rPr>
          <w:rFonts w:ascii="Arial" w:eastAsia="Times New Roman" w:hAnsi="Arial" w:cs="Arial"/>
          <w:sz w:val="24"/>
          <w:szCs w:val="24"/>
        </w:rPr>
      </w:pPr>
    </w:p>
    <w:p w14:paraId="23F472D5" w14:textId="77777777" w:rsidR="007260E6" w:rsidRPr="007260E6" w:rsidRDefault="007260E6" w:rsidP="007260E6">
      <w:pPr>
        <w:spacing w:after="0" w:line="240" w:lineRule="auto"/>
        <w:rPr>
          <w:rFonts w:ascii="Arial" w:eastAsia="Times New Roman" w:hAnsi="Arial" w:cs="Arial"/>
          <w:sz w:val="24"/>
          <w:szCs w:val="24"/>
        </w:rPr>
      </w:pPr>
      <w:r w:rsidRPr="007260E6">
        <w:rPr>
          <w:rFonts w:ascii="Arial" w:eastAsia="Times New Roman" w:hAnsi="Arial" w:cs="Arial"/>
          <w:sz w:val="24"/>
          <w:szCs w:val="24"/>
        </w:rPr>
        <w:t>Claire Hedley, Principal Consultant, Howell Marine Consulting</w:t>
      </w:r>
    </w:p>
    <w:p w14:paraId="13D832A7" w14:textId="275B886B" w:rsidR="007A093A" w:rsidRPr="007260E6" w:rsidRDefault="007260E6" w:rsidP="007260E6">
      <w:pPr>
        <w:spacing w:after="0" w:line="240" w:lineRule="auto"/>
        <w:rPr>
          <w:rFonts w:ascii="Arial" w:eastAsia="Times New Roman" w:hAnsi="Arial" w:cs="Arial"/>
          <w:sz w:val="24"/>
          <w:szCs w:val="24"/>
        </w:rPr>
      </w:pPr>
      <w:r w:rsidRPr="007260E6">
        <w:rPr>
          <w:rFonts w:ascii="Arial" w:eastAsia="Times New Roman" w:hAnsi="Arial" w:cs="Arial"/>
          <w:sz w:val="24"/>
          <w:szCs w:val="24"/>
        </w:rPr>
        <w:t xml:space="preserve">Email: </w:t>
      </w:r>
      <w:hyperlink r:id="rId19" w:history="1">
        <w:r w:rsidRPr="00BB64D2">
          <w:rPr>
            <w:rStyle w:val="Hyperlink"/>
            <w:rFonts w:ascii="Arial" w:eastAsia="Times New Roman" w:hAnsi="Arial" w:cs="Arial"/>
            <w:sz w:val="24"/>
            <w:szCs w:val="24"/>
          </w:rPr>
          <w:t>claire@howellmarine.co.uk</w:t>
        </w:r>
      </w:hyperlink>
      <w:r>
        <w:rPr>
          <w:rFonts w:ascii="Arial" w:eastAsia="Times New Roman" w:hAnsi="Arial" w:cs="Arial"/>
          <w:sz w:val="24"/>
          <w:szCs w:val="24"/>
        </w:rPr>
        <w:t xml:space="preserve"> </w:t>
      </w:r>
    </w:p>
    <w:p w14:paraId="681BEF3B" w14:textId="77777777" w:rsidR="007A093A" w:rsidRDefault="007A093A">
      <w:pPr>
        <w:spacing w:after="240" w:line="240" w:lineRule="auto"/>
        <w:jc w:val="center"/>
        <w:rPr>
          <w:rFonts w:ascii="Times New Roman" w:eastAsia="Times New Roman" w:hAnsi="Times New Roman" w:cs="Times New Roman"/>
          <w:sz w:val="24"/>
          <w:szCs w:val="24"/>
        </w:rPr>
      </w:pPr>
    </w:p>
    <w:p w14:paraId="12B59DFA" w14:textId="77777777" w:rsidR="007A093A" w:rsidRDefault="007A093A">
      <w:pPr>
        <w:spacing w:after="240" w:line="240" w:lineRule="auto"/>
        <w:jc w:val="center"/>
        <w:rPr>
          <w:rFonts w:ascii="Times New Roman" w:eastAsia="Times New Roman" w:hAnsi="Times New Roman" w:cs="Times New Roman"/>
          <w:sz w:val="24"/>
          <w:szCs w:val="24"/>
        </w:rPr>
      </w:pPr>
    </w:p>
    <w:p w14:paraId="5C7A36BE" w14:textId="77777777" w:rsidR="007A093A" w:rsidRDefault="007A093A">
      <w:pPr>
        <w:spacing w:after="240" w:line="240" w:lineRule="auto"/>
        <w:jc w:val="center"/>
        <w:rPr>
          <w:rFonts w:ascii="Times New Roman" w:eastAsia="Times New Roman" w:hAnsi="Times New Roman" w:cs="Times New Roman"/>
          <w:sz w:val="24"/>
          <w:szCs w:val="24"/>
        </w:rPr>
      </w:pPr>
    </w:p>
    <w:p w14:paraId="5792F655" w14:textId="77777777" w:rsidR="007A093A" w:rsidRDefault="007A093A">
      <w:pPr>
        <w:spacing w:after="240" w:line="240" w:lineRule="auto"/>
        <w:jc w:val="center"/>
        <w:rPr>
          <w:rFonts w:ascii="Times New Roman" w:eastAsia="Times New Roman" w:hAnsi="Times New Roman" w:cs="Times New Roman"/>
          <w:sz w:val="24"/>
          <w:szCs w:val="24"/>
        </w:rPr>
      </w:pPr>
    </w:p>
    <w:p w14:paraId="3C00F684" w14:textId="77777777" w:rsidR="007A093A" w:rsidRDefault="007A093A">
      <w:pPr>
        <w:spacing w:after="240" w:line="240" w:lineRule="auto"/>
        <w:jc w:val="center"/>
        <w:rPr>
          <w:rFonts w:ascii="Times New Roman" w:eastAsia="Times New Roman" w:hAnsi="Times New Roman" w:cs="Times New Roman"/>
          <w:sz w:val="24"/>
          <w:szCs w:val="24"/>
        </w:rPr>
      </w:pPr>
    </w:p>
    <w:p w14:paraId="1F99B58A" w14:textId="77777777" w:rsidR="007260E6" w:rsidRDefault="007260E6">
      <w:pPr>
        <w:spacing w:after="240" w:line="240" w:lineRule="auto"/>
        <w:jc w:val="center"/>
        <w:rPr>
          <w:rFonts w:ascii="Times New Roman" w:eastAsia="Times New Roman" w:hAnsi="Times New Roman" w:cs="Times New Roman"/>
          <w:sz w:val="24"/>
          <w:szCs w:val="24"/>
        </w:rPr>
      </w:pPr>
    </w:p>
    <w:p w14:paraId="41F75574" w14:textId="77777777" w:rsidR="007260E6" w:rsidRDefault="007260E6">
      <w:pPr>
        <w:spacing w:after="240" w:line="240" w:lineRule="auto"/>
        <w:jc w:val="center"/>
        <w:rPr>
          <w:rFonts w:ascii="Times New Roman" w:eastAsia="Times New Roman" w:hAnsi="Times New Roman" w:cs="Times New Roman"/>
          <w:sz w:val="24"/>
          <w:szCs w:val="24"/>
        </w:rPr>
      </w:pPr>
    </w:p>
    <w:p w14:paraId="41BD3C89" w14:textId="530B4F63" w:rsidR="007260E6" w:rsidRDefault="005863E8">
      <w:pPr>
        <w:spacing w:after="240" w:line="240" w:lineRule="auto"/>
        <w:jc w:val="center"/>
        <w:rPr>
          <w:rFonts w:ascii="Times New Roman" w:eastAsia="Times New Roman" w:hAnsi="Times New Roman" w:cs="Times New Roman"/>
          <w:sz w:val="24"/>
          <w:szCs w:val="24"/>
        </w:rPr>
      </w:pPr>
      <w:r w:rsidRPr="005863E8">
        <w:rPr>
          <w:rFonts w:ascii="Arial" w:eastAsia="Arial" w:hAnsi="Arial" w:cs="Arial"/>
          <w:noProof/>
          <w:sz w:val="24"/>
          <w:szCs w:val="24"/>
          <w:lang w:val="en-US"/>
        </w:rPr>
        <mc:AlternateContent>
          <mc:Choice Requires="wps">
            <w:drawing>
              <wp:anchor distT="0" distB="0" distL="114300" distR="114300" simplePos="0" relativeHeight="251673600" behindDoc="0" locked="0" layoutInCell="1" allowOverlap="1" wp14:anchorId="201F3FD2" wp14:editId="0B970BBC">
                <wp:simplePos x="0" y="0"/>
                <wp:positionH relativeFrom="margin">
                  <wp:posOffset>138989</wp:posOffset>
                </wp:positionH>
                <wp:positionV relativeFrom="margin">
                  <wp:posOffset>6212612</wp:posOffset>
                </wp:positionV>
                <wp:extent cx="5398770" cy="592455"/>
                <wp:effectExtent l="0" t="0" r="11430" b="17145"/>
                <wp:wrapSquare wrapText="bothSides"/>
                <wp:docPr id="1508883769" name="Rectangle 19"/>
                <wp:cNvGraphicFramePr/>
                <a:graphic xmlns:a="http://schemas.openxmlformats.org/drawingml/2006/main">
                  <a:graphicData uri="http://schemas.microsoft.com/office/word/2010/wordprocessingShape">
                    <wps:wsp>
                      <wps:cNvSpPr/>
                      <wps:spPr>
                        <a:xfrm>
                          <a:off x="0" y="0"/>
                          <a:ext cx="5398770" cy="59245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1AB878C" w14:textId="77777777" w:rsidR="005863E8" w:rsidRPr="00C402C3" w:rsidRDefault="005863E8" w:rsidP="005863E8">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2C7BABA0" w14:textId="77777777" w:rsidR="005863E8" w:rsidRPr="00C402C3" w:rsidRDefault="005863E8" w:rsidP="005863E8">
                            <w:pPr>
                              <w:rPr>
                                <w:rFonts w:ascii="Times New Roman" w:eastAsia="Arial" w:hAnsi="Times New Roman" w:cs="Times New Roman"/>
                              </w:rPr>
                            </w:pPr>
                          </w:p>
                          <w:p w14:paraId="1F73E196" w14:textId="77777777" w:rsidR="005863E8" w:rsidRDefault="005863E8" w:rsidP="005863E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1F3FD2" id="Rectangle 19" o:spid="_x0000_s1028" style="position:absolute;left:0;text-align:left;margin-left:10.95pt;margin-top:489.2pt;width:425.1pt;height:46.65pt;z-index:251673600;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" fillcolor="window" strokecolor="windowText" strokeweight=".25pt">
                <v:textbox>
                  <w:txbxContent>
                    <w:p w14:paraId="01AB878C" w14:textId="77777777" w:rsidR="005863E8" w:rsidRPr="00C402C3" w:rsidRDefault="005863E8" w:rsidP="005863E8">
                      <w:pPr>
                        <w:rPr>
                          <w:rFonts w:ascii="Times New Roman" w:eastAsia="Arial" w:hAnsi="Times New Roman" w:cs="Times New Roman"/>
                          <w:i/>
                          <w:iCs/>
                        </w:rPr>
                      </w:pPr>
                      <w:r w:rsidRPr="00C402C3">
                        <w:rPr>
                          <w:rFonts w:ascii="Times New Roman" w:hAnsi="Times New Roman" w:cs="Times New Roman"/>
                        </w:rPr>
                        <w:t xml:space="preserve">This publication has been made possible through funding by </w:t>
                      </w:r>
                      <w:r w:rsidRPr="00C402C3">
                        <w:rPr>
                          <w:rFonts w:ascii="Times New Roman" w:eastAsia="Arial" w:hAnsi="Times New Roman" w:cs="Times New Roman"/>
                        </w:rPr>
                        <w:t xml:space="preserve">BE-CLME+ Project: Promoting National Blue Economy Priorities Through Marine Spatial Planning in the Caribbean Large Marine Ecosystem Plus - </w:t>
                      </w:r>
                      <w:r w:rsidRPr="00C402C3">
                        <w:rPr>
                          <w:rFonts w:ascii="Times New Roman" w:eastAsia="Arial" w:hAnsi="Times New Roman" w:cs="Times New Roman"/>
                          <w:i/>
                          <w:iCs/>
                        </w:rPr>
                        <w:t>GEF Project ID 10211</w:t>
                      </w:r>
                    </w:p>
                    <w:p w14:paraId="2C7BABA0" w14:textId="77777777" w:rsidR="005863E8" w:rsidRPr="00C402C3" w:rsidRDefault="005863E8" w:rsidP="005863E8">
                      <w:pPr>
                        <w:rPr>
                          <w:rFonts w:ascii="Times New Roman" w:eastAsia="Arial" w:hAnsi="Times New Roman" w:cs="Times New Roman"/>
                        </w:rPr>
                      </w:pPr>
                    </w:p>
                    <w:p w14:paraId="1F73E196" w14:textId="77777777" w:rsidR="005863E8" w:rsidRDefault="005863E8" w:rsidP="005863E8"/>
                  </w:txbxContent>
                </v:textbox>
                <w10:wrap type="square" anchorx="margin" anchory="margin"/>
              </v:rect>
            </w:pict>
          </mc:Fallback>
        </mc:AlternateContent>
      </w:r>
    </w:p>
    <w:p w14:paraId="03C0D1DF" w14:textId="0F23B19E" w:rsidR="007260E6" w:rsidRDefault="007260E6">
      <w:pPr>
        <w:spacing w:after="240" w:line="240" w:lineRule="auto"/>
        <w:jc w:val="center"/>
        <w:rPr>
          <w:rFonts w:ascii="Times New Roman" w:eastAsia="Times New Roman" w:hAnsi="Times New Roman" w:cs="Times New Roman"/>
          <w:sz w:val="24"/>
          <w:szCs w:val="24"/>
        </w:rPr>
      </w:pPr>
    </w:p>
    <w:p w14:paraId="343C0BCD" w14:textId="284DFDB8" w:rsidR="007260E6" w:rsidRDefault="007260E6">
      <w:pPr>
        <w:spacing w:after="240" w:line="240" w:lineRule="auto"/>
        <w:jc w:val="center"/>
        <w:rPr>
          <w:rFonts w:ascii="Times New Roman" w:eastAsia="Times New Roman" w:hAnsi="Times New Roman" w:cs="Times New Roman"/>
          <w:sz w:val="24"/>
          <w:szCs w:val="24"/>
        </w:rPr>
      </w:pPr>
    </w:p>
    <w:p w14:paraId="0E894F10" w14:textId="77777777" w:rsidR="005863E8" w:rsidRDefault="00000000" w:rsidP="007260E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0BFE056A" w14:textId="11734777" w:rsidR="007A093A" w:rsidRDefault="00000000" w:rsidP="007260E6">
      <w:pPr>
        <w:spacing w:after="0" w:line="240" w:lineRule="auto"/>
        <w:jc w:val="center"/>
        <w:rPr>
          <w:rFonts w:ascii="Arial" w:eastAsia="Arial" w:hAnsi="Arial" w:cs="Arial"/>
          <w:b/>
          <w:bCs/>
          <w:color w:val="000000"/>
          <w:sz w:val="24"/>
          <w:szCs w:val="24"/>
        </w:rPr>
      </w:pPr>
      <w:r>
        <w:rPr>
          <w:rFonts w:ascii="Times New Roman" w:eastAsia="Times New Roman" w:hAnsi="Times New Roman" w:cs="Times New Roman"/>
          <w:sz w:val="24"/>
          <w:szCs w:val="24"/>
        </w:rPr>
        <w:br/>
      </w:r>
      <w:r>
        <w:rPr>
          <w:rFonts w:ascii="Arial" w:eastAsia="Arial" w:hAnsi="Arial" w:cs="Arial"/>
          <w:b/>
          <w:bCs/>
          <w:color w:val="000000"/>
          <w:sz w:val="24"/>
          <w:szCs w:val="24"/>
        </w:rPr>
        <w:t>CRFM Secretariat</w:t>
      </w:r>
    </w:p>
    <w:p w14:paraId="2B2276B8" w14:textId="7E9D8E76" w:rsidR="007A093A" w:rsidRDefault="00000000" w:rsidP="007260E6">
      <w:pPr>
        <w:spacing w:after="0"/>
        <w:jc w:val="center"/>
        <w:rPr>
          <w:rFonts w:ascii="Arial" w:eastAsia="Arial" w:hAnsi="Arial" w:cs="Arial"/>
          <w:b/>
          <w:bCs/>
          <w:color w:val="000000"/>
          <w:sz w:val="24"/>
          <w:szCs w:val="24"/>
        </w:rPr>
      </w:pPr>
      <w:r>
        <w:rPr>
          <w:rFonts w:ascii="Arial" w:eastAsia="Arial" w:hAnsi="Arial" w:cs="Arial"/>
          <w:b/>
          <w:bCs/>
          <w:color w:val="000000"/>
          <w:sz w:val="24"/>
          <w:szCs w:val="24"/>
        </w:rPr>
        <w:t xml:space="preserve">Belize </w:t>
      </w:r>
    </w:p>
    <w:p w14:paraId="6431480F" w14:textId="0F7959AA" w:rsidR="007A093A" w:rsidRDefault="007A093A">
      <w:pPr>
        <w:spacing w:after="240" w:line="240" w:lineRule="auto"/>
        <w:jc w:val="center"/>
        <w:rPr>
          <w:rFonts w:ascii="Arial" w:eastAsia="Arial" w:hAnsi="Arial" w:cs="Arial"/>
          <w:b/>
          <w:bCs/>
          <w:sz w:val="24"/>
          <w:szCs w:val="24"/>
        </w:rPr>
      </w:pPr>
    </w:p>
    <w:p w14:paraId="168CEEB1" w14:textId="77777777" w:rsidR="0043317D" w:rsidRDefault="0043317D" w:rsidP="007260E6">
      <w:pPr>
        <w:rPr>
          <w:rFonts w:ascii="Times New Roman" w:hAnsi="Times New Roman"/>
          <w:sz w:val="28"/>
          <w:szCs w:val="28"/>
        </w:rPr>
        <w:sectPr w:rsidR="0043317D" w:rsidSect="0043317D">
          <w:pgSz w:w="12240" w:h="15840"/>
          <w:pgMar w:top="1170" w:right="1440" w:bottom="1440" w:left="1440" w:header="144" w:footer="720" w:gutter="0"/>
          <w:pgNumType w:start="1"/>
          <w:cols w:space="720"/>
          <w:titlePg/>
          <w:docGrid w:linePitch="299"/>
        </w:sectPr>
      </w:pPr>
    </w:p>
    <w:p w14:paraId="03CEED50" w14:textId="11E35F87" w:rsidR="007260E6" w:rsidRPr="00144812" w:rsidRDefault="007260E6" w:rsidP="007260E6">
      <w:pPr>
        <w:rPr>
          <w:rFonts w:ascii="Times New Roman" w:hAnsi="Times New Roman"/>
          <w:sz w:val="28"/>
          <w:szCs w:val="28"/>
        </w:rPr>
      </w:pPr>
      <w:r w:rsidRPr="00144812">
        <w:rPr>
          <w:rFonts w:ascii="Times New Roman" w:hAnsi="Times New Roman"/>
          <w:sz w:val="28"/>
          <w:szCs w:val="28"/>
        </w:rPr>
        <w:lastRenderedPageBreak/>
        <w:t>CRFM Technical &amp; Advisory Document</w:t>
      </w:r>
      <w:r>
        <w:rPr>
          <w:rFonts w:ascii="Times New Roman" w:hAnsi="Times New Roman"/>
          <w:sz w:val="28"/>
          <w:szCs w:val="28"/>
        </w:rPr>
        <w:t xml:space="preserve"> </w:t>
      </w:r>
      <w:r w:rsidRPr="00EA5954">
        <w:rPr>
          <w:rFonts w:ascii="Times New Roman" w:hAnsi="Times New Roman"/>
          <w:sz w:val="28"/>
          <w:szCs w:val="28"/>
        </w:rPr>
        <w:t>Number 20</w:t>
      </w:r>
      <w:r>
        <w:rPr>
          <w:rFonts w:ascii="Times New Roman" w:hAnsi="Times New Roman"/>
          <w:sz w:val="28"/>
          <w:szCs w:val="28"/>
        </w:rPr>
        <w:t>25</w:t>
      </w:r>
      <w:r w:rsidRPr="00EA5954">
        <w:rPr>
          <w:rFonts w:ascii="Times New Roman" w:hAnsi="Times New Roman"/>
          <w:sz w:val="28"/>
          <w:szCs w:val="28"/>
        </w:rPr>
        <w:t xml:space="preserve">/ </w:t>
      </w:r>
      <w:r>
        <w:rPr>
          <w:rFonts w:ascii="Times New Roman" w:hAnsi="Times New Roman"/>
          <w:sz w:val="28"/>
          <w:szCs w:val="28"/>
        </w:rPr>
        <w:t>08</w:t>
      </w:r>
    </w:p>
    <w:p w14:paraId="3472C186" w14:textId="77777777" w:rsidR="007260E6" w:rsidRPr="00144812" w:rsidRDefault="007260E6" w:rsidP="007260E6">
      <w:pPr>
        <w:rPr>
          <w:rFonts w:ascii="Times New Roman" w:hAnsi="Times New Roman"/>
          <w:sz w:val="28"/>
          <w:szCs w:val="28"/>
        </w:rPr>
      </w:pPr>
    </w:p>
    <w:p w14:paraId="3176F2A5" w14:textId="6CBAA8E7" w:rsidR="007260E6" w:rsidRPr="00C42187" w:rsidRDefault="007260E6" w:rsidP="007260E6">
      <w:pPr>
        <w:rPr>
          <w:rFonts w:ascii="Times New Roman" w:hAnsi="Times New Roman"/>
          <w:sz w:val="28"/>
          <w:szCs w:val="28"/>
          <w:lang w:val="en-GB"/>
        </w:rPr>
      </w:pPr>
      <w:r>
        <w:rPr>
          <w:sz w:val="28"/>
          <w:szCs w:val="28"/>
        </w:rPr>
        <w:t>Jamaica Marine Spatial Planning Profile</w:t>
      </w:r>
    </w:p>
    <w:p w14:paraId="3B4769ED" w14:textId="77777777" w:rsidR="007260E6" w:rsidRPr="00144812" w:rsidRDefault="007260E6" w:rsidP="007260E6">
      <w:pPr>
        <w:rPr>
          <w:rFonts w:ascii="Times New Roman" w:hAnsi="Times New Roman"/>
          <w:sz w:val="28"/>
          <w:szCs w:val="28"/>
          <w:lang w:val="en-GB"/>
        </w:rPr>
      </w:pPr>
    </w:p>
    <w:p w14:paraId="3DB7759A" w14:textId="77777777" w:rsidR="007260E6" w:rsidRPr="00144812" w:rsidRDefault="007260E6" w:rsidP="007260E6">
      <w:pPr>
        <w:rPr>
          <w:rFonts w:ascii="Times New Roman" w:hAnsi="Times New Roman"/>
          <w:sz w:val="28"/>
          <w:szCs w:val="28"/>
        </w:rPr>
      </w:pPr>
    </w:p>
    <w:p w14:paraId="2DB24576" w14:textId="77777777" w:rsidR="007260E6" w:rsidRDefault="007260E6" w:rsidP="007260E6">
      <w:pPr>
        <w:rPr>
          <w:rFonts w:cs="Arial"/>
          <w:i/>
          <w:sz w:val="24"/>
          <w:szCs w:val="24"/>
        </w:rPr>
      </w:pPr>
    </w:p>
    <w:p w14:paraId="2B1F882D" w14:textId="77777777" w:rsidR="007260E6" w:rsidRPr="00AD1DC1" w:rsidRDefault="007260E6" w:rsidP="007260E6">
      <w:pPr>
        <w:rPr>
          <w:rFonts w:ascii="Times New Roman" w:hAnsi="Times New Roman"/>
          <w:i/>
        </w:rPr>
      </w:pPr>
      <w:r w:rsidRPr="00AD1DC1">
        <w:rPr>
          <w:rFonts w:ascii="Times New Roman" w:hAnsi="Times New Roman"/>
          <w:i/>
        </w:rPr>
        <w:t>© CRFM 20</w:t>
      </w:r>
      <w:r>
        <w:rPr>
          <w:rFonts w:ascii="Times New Roman" w:hAnsi="Times New Roman"/>
          <w:i/>
        </w:rPr>
        <w:t>2</w:t>
      </w:r>
      <w:r>
        <w:rPr>
          <w:i/>
        </w:rPr>
        <w:t>5</w:t>
      </w:r>
    </w:p>
    <w:p w14:paraId="73B7E4AF" w14:textId="77777777" w:rsidR="007260E6" w:rsidRPr="00AD1DC1" w:rsidRDefault="007260E6" w:rsidP="007260E6">
      <w:pPr>
        <w:rPr>
          <w:rFonts w:ascii="Times New Roman" w:hAnsi="Times New Roman"/>
        </w:rPr>
      </w:pPr>
      <w:r w:rsidRPr="00AD1DC1">
        <w:rPr>
          <w:rFonts w:ascii="Times New Roman" w:hAnsi="Times New Roman"/>
        </w:rPr>
        <w:t>All rights reserved.</w:t>
      </w:r>
    </w:p>
    <w:p w14:paraId="70CD1292" w14:textId="77777777" w:rsidR="007260E6" w:rsidRPr="00AD1DC1" w:rsidRDefault="007260E6" w:rsidP="007260E6">
      <w:pPr>
        <w:rPr>
          <w:rFonts w:ascii="Times New Roman" w:hAnsi="Times New Roman"/>
          <w:sz w:val="24"/>
          <w:szCs w:val="24"/>
        </w:rPr>
      </w:pPr>
      <w:r w:rsidRPr="00AD1DC1">
        <w:rPr>
          <w:rFonts w:ascii="Times New Roman" w:hAnsi="Times New Roman"/>
        </w:rPr>
        <w:t>Reproduction, dissemination and use of material in this publication for educational or non-commercial purposes are authorised without prior written permission of the CRFM, provided the source is fully acknowledged.  No part of this publication may be reproduced, disseminated o</w:t>
      </w:r>
      <w:r>
        <w:rPr>
          <w:rFonts w:ascii="Times New Roman" w:hAnsi="Times New Roman"/>
        </w:rPr>
        <w:t>r</w:t>
      </w:r>
      <w:r w:rsidRPr="00AD1DC1">
        <w:rPr>
          <w:rFonts w:ascii="Times New Roman" w:hAnsi="Times New Roman"/>
        </w:rPr>
        <w:t xml:space="preserve"> used for any commercial purposes or resold without the prior written permission of the CRFM.</w:t>
      </w:r>
    </w:p>
    <w:p w14:paraId="064E54C4" w14:textId="77777777" w:rsidR="007260E6" w:rsidRPr="00AD1DC1" w:rsidRDefault="007260E6" w:rsidP="007260E6">
      <w:pPr>
        <w:rPr>
          <w:rFonts w:ascii="Times New Roman" w:hAnsi="Times New Roman"/>
          <w:sz w:val="24"/>
          <w:szCs w:val="24"/>
        </w:rPr>
      </w:pPr>
    </w:p>
    <w:p w14:paraId="0616A212" w14:textId="77777777" w:rsidR="007260E6" w:rsidRDefault="007260E6" w:rsidP="007260E6">
      <w:pPr>
        <w:rPr>
          <w:rFonts w:cs="Arial"/>
          <w:u w:val="single"/>
        </w:rPr>
      </w:pPr>
    </w:p>
    <w:p w14:paraId="2D544F3A" w14:textId="77777777" w:rsidR="007260E6" w:rsidRPr="008C5E62" w:rsidRDefault="007260E6" w:rsidP="007260E6">
      <w:pPr>
        <w:rPr>
          <w:rFonts w:cs="Arial"/>
          <w:sz w:val="24"/>
          <w:szCs w:val="24"/>
          <w:u w:val="single"/>
        </w:rPr>
      </w:pPr>
    </w:p>
    <w:p w14:paraId="167030E0" w14:textId="77777777" w:rsidR="007260E6" w:rsidRPr="007260E6" w:rsidRDefault="007260E6" w:rsidP="007260E6">
      <w:pPr>
        <w:spacing w:after="0"/>
        <w:rPr>
          <w:rFonts w:ascii="Times New Roman" w:hAnsi="Times New Roman" w:cs="Times New Roman"/>
          <w:u w:val="single"/>
        </w:rPr>
      </w:pPr>
      <w:r w:rsidRPr="007260E6">
        <w:rPr>
          <w:rFonts w:ascii="Times New Roman" w:hAnsi="Times New Roman" w:cs="Times New Roman"/>
          <w:u w:val="single"/>
        </w:rPr>
        <w:t>Correct Citation:</w:t>
      </w:r>
    </w:p>
    <w:p w14:paraId="690FBBD1" w14:textId="16AFF07C" w:rsidR="007260E6" w:rsidRPr="007260E6" w:rsidRDefault="007260E6" w:rsidP="007260E6">
      <w:pPr>
        <w:spacing w:after="0"/>
        <w:rPr>
          <w:rFonts w:ascii="Times New Roman" w:hAnsi="Times New Roman" w:cs="Times New Roman"/>
          <w:sz w:val="24"/>
          <w:szCs w:val="24"/>
        </w:rPr>
      </w:pPr>
      <w:r w:rsidRPr="007260E6">
        <w:rPr>
          <w:rFonts w:ascii="Times New Roman" w:hAnsi="Times New Roman" w:cs="Times New Roman"/>
        </w:rPr>
        <w:t xml:space="preserve">CRFM, 2025.  Jamaica Marine Spatial Planning Profile. </w:t>
      </w:r>
      <w:r w:rsidRPr="007260E6">
        <w:rPr>
          <w:rFonts w:ascii="Times New Roman" w:hAnsi="Times New Roman" w:cs="Times New Roman"/>
          <w:i/>
        </w:rPr>
        <w:t>CRFM Technical &amp; Advisory Report</w:t>
      </w:r>
      <w:r w:rsidRPr="007260E6">
        <w:rPr>
          <w:rFonts w:ascii="Times New Roman" w:hAnsi="Times New Roman" w:cs="Times New Roman"/>
        </w:rPr>
        <w:t xml:space="preserve"> No. </w:t>
      </w:r>
      <w:r w:rsidRPr="007260E6">
        <w:rPr>
          <w:rFonts w:ascii="Times New Roman" w:hAnsi="Times New Roman" w:cs="Times New Roman"/>
          <w:bCs/>
        </w:rPr>
        <w:t>2025 / 08</w:t>
      </w:r>
      <w:r w:rsidRPr="007260E6">
        <w:rPr>
          <w:rFonts w:ascii="Times New Roman" w:hAnsi="Times New Roman" w:cs="Times New Roman"/>
        </w:rPr>
        <w:t>. 20p.</w:t>
      </w:r>
    </w:p>
    <w:p w14:paraId="1898E7FE" w14:textId="77777777" w:rsidR="007260E6" w:rsidRDefault="007260E6" w:rsidP="007260E6"/>
    <w:p w14:paraId="3D08C920" w14:textId="77777777" w:rsidR="007260E6" w:rsidRDefault="007260E6" w:rsidP="007260E6"/>
    <w:p w14:paraId="15189FE7" w14:textId="77777777" w:rsidR="007260E6" w:rsidRDefault="007260E6" w:rsidP="007260E6"/>
    <w:p w14:paraId="6CBB1B23" w14:textId="77777777" w:rsidR="007260E6" w:rsidRDefault="007260E6" w:rsidP="007260E6"/>
    <w:p w14:paraId="610CECB9" w14:textId="77777777" w:rsidR="007260E6" w:rsidRDefault="007260E6" w:rsidP="007260E6">
      <w:pPr>
        <w:rPr>
          <w:rFonts w:ascii="Times New Roman" w:hAnsi="Times New Roman"/>
        </w:rPr>
      </w:pPr>
    </w:p>
    <w:p w14:paraId="47E25B56" w14:textId="77777777" w:rsidR="007260E6" w:rsidRPr="00A251EF" w:rsidRDefault="007260E6" w:rsidP="007260E6">
      <w:pPr>
        <w:spacing w:after="0" w:line="240" w:lineRule="auto"/>
        <w:rPr>
          <w:rFonts w:ascii="Times New Roman" w:hAnsi="Times New Roman"/>
          <w:b/>
          <w:sz w:val="20"/>
          <w:szCs w:val="20"/>
        </w:rPr>
      </w:pPr>
      <w:r w:rsidRPr="00A251EF">
        <w:rPr>
          <w:rFonts w:ascii="Times New Roman" w:hAnsi="Times New Roman"/>
          <w:b/>
          <w:sz w:val="20"/>
          <w:szCs w:val="20"/>
        </w:rPr>
        <w:t>ISSN: 1995-1132</w:t>
      </w:r>
    </w:p>
    <w:p w14:paraId="51D6BBD2" w14:textId="5104BC24" w:rsidR="007260E6" w:rsidRPr="00A251EF" w:rsidRDefault="007260E6" w:rsidP="007260E6">
      <w:pPr>
        <w:spacing w:after="0" w:line="240" w:lineRule="auto"/>
        <w:rPr>
          <w:rFonts w:ascii="Times New Roman" w:hAnsi="Times New Roman"/>
          <w:b/>
          <w:sz w:val="20"/>
          <w:szCs w:val="20"/>
        </w:rPr>
      </w:pPr>
      <w:r w:rsidRPr="00A251EF">
        <w:rPr>
          <w:rFonts w:ascii="Times New Roman" w:hAnsi="Times New Roman"/>
          <w:b/>
          <w:sz w:val="20"/>
          <w:szCs w:val="20"/>
        </w:rPr>
        <w:t xml:space="preserve">ISBN: </w:t>
      </w:r>
      <w:r w:rsidR="00E91AAB">
        <w:rPr>
          <w:rFonts w:ascii="Times New Roman" w:hAnsi="Times New Roman"/>
          <w:b/>
          <w:sz w:val="20"/>
          <w:szCs w:val="20"/>
        </w:rPr>
        <w:t>978-976-829396-1</w:t>
      </w:r>
    </w:p>
    <w:p w14:paraId="35F04F5E" w14:textId="77777777" w:rsidR="007260E6" w:rsidRPr="00AD1DC1" w:rsidRDefault="007260E6" w:rsidP="007260E6">
      <w:pPr>
        <w:rPr>
          <w:rFonts w:ascii="Times New Roman" w:hAnsi="Times New Roman"/>
        </w:rPr>
      </w:pPr>
    </w:p>
    <w:p w14:paraId="4396CFC5" w14:textId="77777777" w:rsidR="007260E6" w:rsidRPr="00AD1DC1" w:rsidRDefault="007260E6" w:rsidP="007260E6">
      <w:pPr>
        <w:rPr>
          <w:rFonts w:ascii="Times New Roman" w:hAnsi="Times New Roman"/>
        </w:rPr>
      </w:pPr>
    </w:p>
    <w:p w14:paraId="0BAD99C0" w14:textId="77777777" w:rsidR="007260E6" w:rsidRPr="00AD1DC1" w:rsidRDefault="007260E6" w:rsidP="007260E6">
      <w:pPr>
        <w:spacing w:after="0" w:line="240" w:lineRule="auto"/>
        <w:rPr>
          <w:rFonts w:ascii="Times New Roman" w:hAnsi="Times New Roman"/>
        </w:rPr>
      </w:pPr>
      <w:r w:rsidRPr="00AD1DC1">
        <w:rPr>
          <w:rFonts w:ascii="Times New Roman" w:hAnsi="Times New Roman"/>
        </w:rPr>
        <w:t>Published by the Caribbean Regional Fisheries Mechanism Secretariat</w:t>
      </w:r>
    </w:p>
    <w:p w14:paraId="1DF024C8" w14:textId="77777777" w:rsidR="007260E6" w:rsidRPr="00AD1DC1" w:rsidRDefault="007260E6" w:rsidP="007260E6">
      <w:pPr>
        <w:spacing w:after="0" w:line="240" w:lineRule="auto"/>
        <w:rPr>
          <w:rFonts w:ascii="Times New Roman" w:hAnsi="Times New Roman"/>
        </w:rPr>
      </w:pPr>
      <w:r w:rsidRPr="00AD1DC1">
        <w:rPr>
          <w:rFonts w:ascii="Times New Roman" w:hAnsi="Times New Roman"/>
        </w:rPr>
        <w:t>Belize</w:t>
      </w:r>
      <w:r>
        <w:rPr>
          <w:rFonts w:ascii="Times New Roman" w:hAnsi="Times New Roman"/>
        </w:rPr>
        <w:t xml:space="preserve"> and St. Vincent and the Grenadines</w:t>
      </w:r>
    </w:p>
    <w:p w14:paraId="461F6287" w14:textId="77777777" w:rsidR="007A093A" w:rsidRDefault="00000000">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3D139F73" w14:textId="77777777" w:rsidR="007A093A" w:rsidRDefault="007A093A">
      <w:pPr>
        <w:spacing w:after="240" w:line="240" w:lineRule="auto"/>
        <w:rPr>
          <w:rFonts w:ascii="Times New Roman" w:eastAsia="Times New Roman" w:hAnsi="Times New Roman" w:cs="Times New Roman"/>
          <w:sz w:val="24"/>
          <w:szCs w:val="24"/>
        </w:rPr>
      </w:pPr>
    </w:p>
    <w:p w14:paraId="0920EE5B" w14:textId="77777777" w:rsidR="00E91AAB" w:rsidRDefault="00E91AAB">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27D0CB53" w14:textId="77777777" w:rsidR="00E91AAB" w:rsidRDefault="00E91AAB" w:rsidP="00E91AAB">
      <w:pPr>
        <w:pStyle w:val="Heading1"/>
        <w:spacing w:after="240"/>
        <w:rPr>
          <w:b/>
          <w:bCs/>
          <w:color w:val="000000"/>
          <w:sz w:val="24"/>
          <w:szCs w:val="24"/>
        </w:rPr>
        <w:sectPr w:rsidR="00E91AAB" w:rsidSect="0043317D">
          <w:pgSz w:w="12240" w:h="15840"/>
          <w:pgMar w:top="1170" w:right="1440" w:bottom="1440" w:left="1440" w:header="144" w:footer="720" w:gutter="0"/>
          <w:pgNumType w:start="1"/>
          <w:cols w:space="720"/>
          <w:titlePg/>
          <w:docGrid w:linePitch="299"/>
        </w:sectPr>
      </w:pPr>
    </w:p>
    <w:p w14:paraId="2730C308" w14:textId="77777777" w:rsidR="00E91AAB" w:rsidRDefault="00E91AAB" w:rsidP="00E91AAB">
      <w:pPr>
        <w:pStyle w:val="Heading1"/>
        <w:spacing w:after="240"/>
        <w:rPr>
          <w:b/>
          <w:bCs/>
          <w:color w:val="000000"/>
          <w:sz w:val="24"/>
          <w:szCs w:val="24"/>
        </w:rPr>
      </w:pPr>
      <w:r>
        <w:rPr>
          <w:b/>
          <w:bCs/>
          <w:color w:val="000000"/>
          <w:sz w:val="24"/>
          <w:szCs w:val="24"/>
        </w:rPr>
        <w:lastRenderedPageBreak/>
        <w:t>EXECUTIVE SUMMARY</w:t>
      </w:r>
    </w:p>
    <w:p w14:paraId="14B6C4CE" w14:textId="77777777" w:rsidR="00E91AAB" w:rsidRDefault="00E91AAB" w:rsidP="00E91AAB">
      <w:pPr>
        <w:spacing w:line="276" w:lineRule="auto"/>
        <w:jc w:val="both"/>
      </w:pPr>
      <w:r>
        <w:rPr>
          <w:rFonts w:ascii="Times New Roman" w:eastAsia="Times New Roman" w:hAnsi="Times New Roman" w:cs="Times New Roman"/>
        </w:rPr>
        <w:t xml:space="preserve">The Caribbean Large Marine Ecosystem Plus (BE-CLME+) Project aims to promote and further progress a blue economy in the Caribbean Region through MSP and Marine Protected Areas (MPAs) in Barbados, Belize, Guyana, Jamaica, Saint Lucia, and Panama. Under the BE-CLME+ Project, the Caribbean Regional Fisheries Mechanism (CRFM) Secretariat has developed a Caribbean Regional Marine Spatial Planning (MSP) Step-by-Step Guide and Protocol. This Jamaica Marine Spatial Planning Profile was produced, following desk-based research and stakeholder feedback, to assess the </w:t>
      </w:r>
      <w:proofErr w:type="gramStart"/>
      <w:r>
        <w:rPr>
          <w:rFonts w:ascii="Times New Roman" w:eastAsia="Times New Roman" w:hAnsi="Times New Roman" w:cs="Times New Roman"/>
        </w:rPr>
        <w:t>current status</w:t>
      </w:r>
      <w:proofErr w:type="gramEnd"/>
      <w:r>
        <w:rPr>
          <w:rFonts w:ascii="Times New Roman" w:eastAsia="Times New Roman" w:hAnsi="Times New Roman" w:cs="Times New Roman"/>
        </w:rPr>
        <w:t xml:space="preserve">, challenges and opportunities for marine spatial planning in Jamaica,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inform the development of the Guide and Protocol.</w:t>
      </w:r>
      <w:r>
        <w:t xml:space="preserve"> </w:t>
      </w:r>
    </w:p>
    <w:p w14:paraId="42A8BD78" w14:textId="77777777" w:rsidR="00E91AAB" w:rsidRDefault="00E91AAB" w:rsidP="00E91AAB">
      <w:pPr>
        <w:spacing w:line="276" w:lineRule="auto"/>
        <w:jc w:val="both"/>
        <w:rPr>
          <w:rFonts w:ascii="Times New Roman" w:eastAsia="Times New Roman" w:hAnsi="Times New Roman" w:cs="Times New Roman"/>
        </w:rPr>
      </w:pPr>
      <w:r>
        <w:rPr>
          <w:rFonts w:ascii="Times New Roman" w:eastAsia="Times New Roman" w:hAnsi="Times New Roman" w:cs="Times New Roman"/>
        </w:rPr>
        <w:t>Jamaica is a Small Island Developing State with a significant marine jurisdiction; its Exclusive Economic Zone (EEZ) is approximately 235,000 km², which is 24 times the size of its land area. Nationally, MSP is currently in the development stage. Overall coordination of the blue economy is managed by the Ministry of Economic Growth and Job Creation (MEGJC), the Planning Institute of Jamaica (PIOJ), and the National Council on Ocean and Coastal Zone Management (NCOCZM). The NCOCZM, chaired by the Minister of Foreign Affairs and Foreign Trade (MFAFT), acts as the lead MSP authority. Political commitment to MSP development is demonstrated by government discussions and a grant agreement with the Caribbean Development Bank (CDB).</w:t>
      </w:r>
    </w:p>
    <w:p w14:paraId="5E798BFE" w14:textId="77777777" w:rsidR="00E91AAB" w:rsidRDefault="00E91AAB" w:rsidP="00E91AAB">
      <w:pPr>
        <w:spacing w:line="276" w:lineRule="auto"/>
        <w:jc w:val="both"/>
        <w:rPr>
          <w:rFonts w:ascii="Times New Roman" w:eastAsia="Times New Roman" w:hAnsi="Times New Roman" w:cs="Times New Roman"/>
        </w:rPr>
      </w:pPr>
      <w:r>
        <w:rPr>
          <w:rFonts w:ascii="Times New Roman" w:eastAsia="Times New Roman" w:hAnsi="Times New Roman" w:cs="Times New Roman"/>
        </w:rPr>
        <w:t>A key success in Jamaica’s MSP journey is the localized MSP pilot implemented at the Pedro Bank between 2014 and 2015, spearheaded by the National Environmental and Planning Agency (NEPA) and The Nature Conservancy (TNC). Pedro Bank is an expansive area covering 8,040 km$^2$, critical to Jamaica as its primary commercial and artisanal fishing grounds and the main harvesting area for queen conch. The Pedro Bank MSP followed international best practice, using the UNESCO-IOC step-by-step guide. Its core vision was achieving effective and collaborative management of the bank’s biodiversity and ecosystem health to support sustainable livelihoods. This approach led to the creation of a draft multi-use zoning design to guide management and sustainable resource use. Engagement was facilitated through a multi-sectoral Pedro Bank Working Group (PBWG) and utilized a collaborative and Participatory Geographic Information System (PGIS) approach to integrate local knowledge with scientific data.</w:t>
      </w:r>
    </w:p>
    <w:p w14:paraId="77FC8296" w14:textId="77777777" w:rsidR="00E91AAB" w:rsidRDefault="00E91AAB" w:rsidP="00E91AAB">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Jamaica also engages in important transboundary efforts, specifically within the </w:t>
      </w:r>
      <w:proofErr w:type="spellStart"/>
      <w:r>
        <w:rPr>
          <w:rFonts w:ascii="Times New Roman" w:eastAsia="Times New Roman" w:hAnsi="Times New Roman" w:cs="Times New Roman"/>
        </w:rPr>
        <w:t>Seaflower</w:t>
      </w:r>
      <w:proofErr w:type="spellEnd"/>
      <w:r>
        <w:rPr>
          <w:rFonts w:ascii="Times New Roman" w:eastAsia="Times New Roman" w:hAnsi="Times New Roman" w:cs="Times New Roman"/>
        </w:rPr>
        <w:t xml:space="preserve"> Biosphere Reserve (SFBR), designated by UNESCO in 2000, which encompasses Colombian, Jamaican, and Nicaraguan jurisdictions. The Sanin-Robertson treaty (1993) regulates the Joint Regime Area (JRA) between Jamaica and Colombia, enabling both countries to jointly manage, control, and exploit natural resources, conduct marine scientific research, and protect the marine environment within that area.</w:t>
      </w:r>
    </w:p>
    <w:p w14:paraId="2D2AA33D" w14:textId="77777777" w:rsidR="00E91AAB" w:rsidRDefault="00E91AAB" w:rsidP="00E91AAB">
      <w:pPr>
        <w:spacing w:line="276" w:lineRule="auto"/>
        <w:jc w:val="both"/>
        <w:rPr>
          <w:rFonts w:ascii="Times New Roman" w:eastAsia="Times New Roman" w:hAnsi="Times New Roman" w:cs="Times New Roman"/>
        </w:rPr>
      </w:pPr>
      <w:r>
        <w:rPr>
          <w:rFonts w:ascii="Times New Roman" w:eastAsia="Times New Roman" w:hAnsi="Times New Roman" w:cs="Times New Roman"/>
        </w:rPr>
        <w:t>However, the implementation of MSP faces significant challenges. These include the advisory nature of the PBWG, which limits its role in the actual implementation of the Pedro Bank plan. Moreover, the existing Ocean and Coastal Zone Management (OCZM) Policy has failed to achieve its intended impact due to policy implementation barriers such as inadequate resourcing and a lack of legal standing, underscoring the need for enhanced enabling arrangements. Data acquisition remains difficult; although basic spatial information exists, crucial datasets (e.g., location of industrial fishing effort) were not granted to the Pedro Bank project team. Human resources are also a limitation, as qualified staff are often stretched across multiple agency projects, suggesting the need for a dedicated MSP team.</w:t>
      </w:r>
    </w:p>
    <w:p w14:paraId="57C5209E" w14:textId="77777777" w:rsidR="00E91AAB" w:rsidRDefault="00E91AAB" w:rsidP="00E91AAB">
      <w:pPr>
        <w:spacing w:line="276" w:lineRule="auto"/>
        <w:jc w:val="both"/>
        <w:rPr>
          <w:rFonts w:ascii="Times New Roman" w:eastAsia="Times New Roman" w:hAnsi="Times New Roman" w:cs="Times New Roman"/>
        </w:rPr>
      </w:pPr>
      <w:r>
        <w:rPr>
          <w:rFonts w:ascii="Times New Roman" w:eastAsia="Times New Roman" w:hAnsi="Times New Roman" w:cs="Times New Roman"/>
        </w:rPr>
        <w:lastRenderedPageBreak/>
        <w:t xml:space="preserve">Key recommendations to advance MSP </w:t>
      </w:r>
      <w:proofErr w:type="gramStart"/>
      <w:r>
        <w:rPr>
          <w:rFonts w:ascii="Times New Roman" w:eastAsia="Times New Roman" w:hAnsi="Times New Roman" w:cs="Times New Roman"/>
        </w:rPr>
        <w:t>include:</w:t>
      </w:r>
      <w:proofErr w:type="gramEnd"/>
      <w:r>
        <w:rPr>
          <w:rFonts w:ascii="Times New Roman" w:eastAsia="Times New Roman" w:hAnsi="Times New Roman" w:cs="Times New Roman"/>
        </w:rPr>
        <w:t xml:space="preserve"> establishing new legislation to support MSP and marine zoning; securing long-term government mandate for the adoption of the Pedro Bank MSP; and revisiting and updating the OCZM Policy to align with new paradigms like MSP. Furthermore, investment in specialized training, communication specialists, and advanced GIS capabilities is necessary to ensure effective data collection and stakeholder engagement, particularly with remote groups like the Pedro Cay fishers.</w:t>
      </w:r>
    </w:p>
    <w:p w14:paraId="408135D9" w14:textId="77777777" w:rsidR="00E91AAB" w:rsidRDefault="00E91AAB" w:rsidP="00E91AAB">
      <w:pPr>
        <w:spacing w:line="276" w:lineRule="auto"/>
        <w:jc w:val="both"/>
      </w:pPr>
    </w:p>
    <w:p w14:paraId="37FBA79D" w14:textId="77777777" w:rsidR="00E91AAB" w:rsidRDefault="00E91AAB" w:rsidP="00E91AAB"/>
    <w:p w14:paraId="4C5A0D72" w14:textId="77777777" w:rsidR="00E91AAB" w:rsidRDefault="00E91AAB" w:rsidP="00E91AAB">
      <w:pPr>
        <w:rPr>
          <w:rFonts w:ascii="Times New Roman" w:eastAsia="Times New Roman" w:hAnsi="Times New Roman" w:cs="Times New Roman"/>
          <w:b/>
          <w:bCs/>
          <w:color w:val="000000"/>
          <w:sz w:val="24"/>
          <w:szCs w:val="24"/>
        </w:rPr>
      </w:pPr>
      <w:r>
        <w:br w:type="page"/>
      </w:r>
    </w:p>
    <w:p w14:paraId="6C55BC46" w14:textId="4F64DD78" w:rsidR="007A093A" w:rsidRDefault="00000000">
      <w:pPr>
        <w:keepNext/>
        <w:keepLines/>
        <w:pBdr>
          <w:top w:val="nil"/>
          <w:left w:val="nil"/>
          <w:bottom w:val="nil"/>
          <w:right w:val="nil"/>
          <w:between w:val="nil"/>
        </w:pBdr>
        <w:spacing w:before="480" w:after="0" w:line="276" w:lineRule="auto"/>
        <w:ind w:left="432" w:hanging="43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Table of Contents</w:t>
      </w:r>
    </w:p>
    <w:sdt>
      <w:sdtPr>
        <w:id w:val="-625297779"/>
        <w:docPartObj>
          <w:docPartGallery w:val="Table of Contents"/>
          <w:docPartUnique/>
        </w:docPartObj>
      </w:sdtPr>
      <w:sdtEndPr>
        <w:rPr>
          <w:rFonts w:ascii="Aptos" w:hAnsi="Aptos"/>
          <w:b w:val="0"/>
          <w:bCs w:val="0"/>
          <w:iCs w:val="0"/>
          <w:sz w:val="22"/>
          <w:szCs w:val="22"/>
        </w:rPr>
      </w:sdtEndPr>
      <w:sdtContent>
        <w:p w14:paraId="693EA19F" w14:textId="6A0315B7" w:rsidR="00E91AAB" w:rsidRDefault="00000000">
          <w:pPr>
            <w:pStyle w:val="TOC1"/>
            <w:tabs>
              <w:tab w:val="right" w:leader="dot" w:pos="9350"/>
            </w:tabs>
            <w:rPr>
              <w:rFonts w:asciiTheme="minorHAnsi" w:eastAsiaTheme="minorEastAsia" w:hAnsiTheme="minorHAnsi" w:cstheme="minorBidi"/>
              <w:b w:val="0"/>
              <w:bCs w:val="0"/>
              <w:iCs w:val="0"/>
              <w:noProof/>
              <w:kern w:val="2"/>
              <w:lang w:val="en-US"/>
              <w14:ligatures w14:val="standardContextual"/>
            </w:rPr>
          </w:pPr>
          <w:r>
            <w:fldChar w:fldCharType="begin"/>
          </w:r>
          <w:r>
            <w:instrText xml:space="preserve"> TOC \h \u \z \t "Heading 1,1,Heading 2,2,Heading 3,3,"</w:instrText>
          </w:r>
          <w:r>
            <w:fldChar w:fldCharType="separate"/>
          </w:r>
          <w:hyperlink w:anchor="_Toc230187271" w:history="1">
            <w:r w:rsidR="00E91AAB" w:rsidRPr="00C0122D">
              <w:rPr>
                <w:rStyle w:val="Hyperlink"/>
                <w:noProof/>
              </w:rPr>
              <w:t>EXECUTIVE SUMMARY</w:t>
            </w:r>
            <w:r w:rsidR="00E91AAB">
              <w:rPr>
                <w:noProof/>
                <w:webHidden/>
              </w:rPr>
              <w:tab/>
            </w:r>
            <w:r w:rsidR="00E91AAB">
              <w:rPr>
                <w:noProof/>
                <w:webHidden/>
              </w:rPr>
              <w:fldChar w:fldCharType="begin"/>
            </w:r>
            <w:r w:rsidR="00E91AAB">
              <w:rPr>
                <w:noProof/>
                <w:webHidden/>
              </w:rPr>
              <w:instrText xml:space="preserve"> PAGEREF _Toc230187271 \h </w:instrText>
            </w:r>
            <w:r w:rsidR="00E91AAB">
              <w:rPr>
                <w:noProof/>
                <w:webHidden/>
              </w:rPr>
            </w:r>
            <w:r w:rsidR="00E91AAB">
              <w:rPr>
                <w:noProof/>
                <w:webHidden/>
              </w:rPr>
              <w:fldChar w:fldCharType="separate"/>
            </w:r>
            <w:r w:rsidR="00E91AAB">
              <w:rPr>
                <w:noProof/>
                <w:webHidden/>
              </w:rPr>
              <w:t>1</w:t>
            </w:r>
            <w:r w:rsidR="00E91AAB">
              <w:rPr>
                <w:noProof/>
                <w:webHidden/>
              </w:rPr>
              <w:fldChar w:fldCharType="end"/>
            </w:r>
          </w:hyperlink>
        </w:p>
        <w:p w14:paraId="22CB37DD" w14:textId="25B3F0CB" w:rsidR="00E91AAB" w:rsidRDefault="00E91AAB">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72" w:history="1">
            <w:r w:rsidRPr="00C0122D">
              <w:rPr>
                <w:rStyle w:val="Hyperlink"/>
                <w:noProof/>
              </w:rPr>
              <w:t>1</w:t>
            </w:r>
            <w:r>
              <w:rPr>
                <w:rFonts w:asciiTheme="minorHAnsi" w:eastAsiaTheme="minorEastAsia" w:hAnsiTheme="minorHAnsi" w:cstheme="minorBidi"/>
                <w:b w:val="0"/>
                <w:bCs w:val="0"/>
                <w:iCs w:val="0"/>
                <w:noProof/>
                <w:kern w:val="2"/>
                <w:lang w:val="en-US"/>
                <w14:ligatures w14:val="standardContextual"/>
              </w:rPr>
              <w:tab/>
            </w:r>
            <w:r w:rsidRPr="00C0122D">
              <w:rPr>
                <w:rStyle w:val="Hyperlink"/>
                <w:noProof/>
              </w:rPr>
              <w:t>INTRODUCTION</w:t>
            </w:r>
            <w:r>
              <w:rPr>
                <w:noProof/>
                <w:webHidden/>
              </w:rPr>
              <w:tab/>
            </w:r>
            <w:r>
              <w:rPr>
                <w:noProof/>
                <w:webHidden/>
              </w:rPr>
              <w:fldChar w:fldCharType="begin"/>
            </w:r>
            <w:r>
              <w:rPr>
                <w:noProof/>
                <w:webHidden/>
              </w:rPr>
              <w:instrText xml:space="preserve"> PAGEREF _Toc230187272 \h </w:instrText>
            </w:r>
            <w:r>
              <w:rPr>
                <w:noProof/>
                <w:webHidden/>
              </w:rPr>
            </w:r>
            <w:r>
              <w:rPr>
                <w:noProof/>
                <w:webHidden/>
              </w:rPr>
              <w:fldChar w:fldCharType="separate"/>
            </w:r>
            <w:r>
              <w:rPr>
                <w:noProof/>
                <w:webHidden/>
              </w:rPr>
              <w:t>3</w:t>
            </w:r>
            <w:r>
              <w:rPr>
                <w:noProof/>
                <w:webHidden/>
              </w:rPr>
              <w:fldChar w:fldCharType="end"/>
            </w:r>
          </w:hyperlink>
        </w:p>
        <w:p w14:paraId="692AF0B9" w14:textId="6529D459"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73" w:history="1">
            <w:r w:rsidRPr="00C0122D">
              <w:rPr>
                <w:rStyle w:val="Hyperlink"/>
                <w:noProof/>
              </w:rPr>
              <w:t>1.1</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Scope</w:t>
            </w:r>
            <w:r>
              <w:rPr>
                <w:noProof/>
                <w:webHidden/>
              </w:rPr>
              <w:tab/>
            </w:r>
            <w:r>
              <w:rPr>
                <w:noProof/>
                <w:webHidden/>
              </w:rPr>
              <w:fldChar w:fldCharType="begin"/>
            </w:r>
            <w:r>
              <w:rPr>
                <w:noProof/>
                <w:webHidden/>
              </w:rPr>
              <w:instrText xml:space="preserve"> PAGEREF _Toc230187273 \h </w:instrText>
            </w:r>
            <w:r>
              <w:rPr>
                <w:noProof/>
                <w:webHidden/>
              </w:rPr>
            </w:r>
            <w:r>
              <w:rPr>
                <w:noProof/>
                <w:webHidden/>
              </w:rPr>
              <w:fldChar w:fldCharType="separate"/>
            </w:r>
            <w:r>
              <w:rPr>
                <w:noProof/>
                <w:webHidden/>
              </w:rPr>
              <w:t>3</w:t>
            </w:r>
            <w:r>
              <w:rPr>
                <w:noProof/>
                <w:webHidden/>
              </w:rPr>
              <w:fldChar w:fldCharType="end"/>
            </w:r>
          </w:hyperlink>
        </w:p>
        <w:p w14:paraId="2F61E870" w14:textId="5528E118"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74" w:history="1">
            <w:r w:rsidRPr="00C0122D">
              <w:rPr>
                <w:rStyle w:val="Hyperlink"/>
                <w:noProof/>
              </w:rPr>
              <w:t>1.2</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Context</w:t>
            </w:r>
            <w:r>
              <w:rPr>
                <w:noProof/>
                <w:webHidden/>
              </w:rPr>
              <w:tab/>
            </w:r>
            <w:r>
              <w:rPr>
                <w:noProof/>
                <w:webHidden/>
              </w:rPr>
              <w:fldChar w:fldCharType="begin"/>
            </w:r>
            <w:r>
              <w:rPr>
                <w:noProof/>
                <w:webHidden/>
              </w:rPr>
              <w:instrText xml:space="preserve"> PAGEREF _Toc230187274 \h </w:instrText>
            </w:r>
            <w:r>
              <w:rPr>
                <w:noProof/>
                <w:webHidden/>
              </w:rPr>
            </w:r>
            <w:r>
              <w:rPr>
                <w:noProof/>
                <w:webHidden/>
              </w:rPr>
              <w:fldChar w:fldCharType="separate"/>
            </w:r>
            <w:r>
              <w:rPr>
                <w:noProof/>
                <w:webHidden/>
              </w:rPr>
              <w:t>3</w:t>
            </w:r>
            <w:r>
              <w:rPr>
                <w:noProof/>
                <w:webHidden/>
              </w:rPr>
              <w:fldChar w:fldCharType="end"/>
            </w:r>
          </w:hyperlink>
        </w:p>
        <w:p w14:paraId="5A1ED47F" w14:textId="4C73C4A7" w:rsidR="00E91AAB" w:rsidRDefault="00E91AAB">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75" w:history="1">
            <w:r w:rsidRPr="00C0122D">
              <w:rPr>
                <w:rStyle w:val="Hyperlink"/>
                <w:noProof/>
              </w:rPr>
              <w:t>2</w:t>
            </w:r>
            <w:r>
              <w:rPr>
                <w:rFonts w:asciiTheme="minorHAnsi" w:eastAsiaTheme="minorEastAsia" w:hAnsiTheme="minorHAnsi" w:cstheme="minorBidi"/>
                <w:b w:val="0"/>
                <w:bCs w:val="0"/>
                <w:iCs w:val="0"/>
                <w:noProof/>
                <w:kern w:val="2"/>
                <w:lang w:val="en-US"/>
                <w14:ligatures w14:val="standardContextual"/>
              </w:rPr>
              <w:tab/>
            </w:r>
            <w:r w:rsidRPr="00C0122D">
              <w:rPr>
                <w:rStyle w:val="Hyperlink"/>
                <w:noProof/>
              </w:rPr>
              <w:t>MSP OVERVIEW</w:t>
            </w:r>
            <w:r>
              <w:rPr>
                <w:noProof/>
                <w:webHidden/>
              </w:rPr>
              <w:tab/>
            </w:r>
            <w:r>
              <w:rPr>
                <w:noProof/>
                <w:webHidden/>
              </w:rPr>
              <w:fldChar w:fldCharType="begin"/>
            </w:r>
            <w:r>
              <w:rPr>
                <w:noProof/>
                <w:webHidden/>
              </w:rPr>
              <w:instrText xml:space="preserve"> PAGEREF _Toc230187275 \h </w:instrText>
            </w:r>
            <w:r>
              <w:rPr>
                <w:noProof/>
                <w:webHidden/>
              </w:rPr>
            </w:r>
            <w:r>
              <w:rPr>
                <w:noProof/>
                <w:webHidden/>
              </w:rPr>
              <w:fldChar w:fldCharType="separate"/>
            </w:r>
            <w:r>
              <w:rPr>
                <w:noProof/>
                <w:webHidden/>
              </w:rPr>
              <w:t>4</w:t>
            </w:r>
            <w:r>
              <w:rPr>
                <w:noProof/>
                <w:webHidden/>
              </w:rPr>
              <w:fldChar w:fldCharType="end"/>
            </w:r>
          </w:hyperlink>
        </w:p>
        <w:p w14:paraId="6BCAF4BC" w14:textId="53F4B74A" w:rsidR="00E91AAB" w:rsidRDefault="00E91AAB">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76" w:history="1">
            <w:r w:rsidRPr="00C0122D">
              <w:rPr>
                <w:rStyle w:val="Hyperlink"/>
                <w:noProof/>
              </w:rPr>
              <w:t>3</w:t>
            </w:r>
            <w:r>
              <w:rPr>
                <w:rFonts w:asciiTheme="minorHAnsi" w:eastAsiaTheme="minorEastAsia" w:hAnsiTheme="minorHAnsi" w:cstheme="minorBidi"/>
                <w:b w:val="0"/>
                <w:bCs w:val="0"/>
                <w:iCs w:val="0"/>
                <w:noProof/>
                <w:kern w:val="2"/>
                <w:lang w:val="en-US"/>
                <w14:ligatures w14:val="standardContextual"/>
              </w:rPr>
              <w:tab/>
            </w:r>
            <w:r w:rsidRPr="00C0122D">
              <w:rPr>
                <w:rStyle w:val="Hyperlink"/>
                <w:noProof/>
              </w:rPr>
              <w:t>MSP PROCESS REVIEW</w:t>
            </w:r>
            <w:r>
              <w:rPr>
                <w:noProof/>
                <w:webHidden/>
              </w:rPr>
              <w:tab/>
            </w:r>
            <w:r>
              <w:rPr>
                <w:noProof/>
                <w:webHidden/>
              </w:rPr>
              <w:fldChar w:fldCharType="begin"/>
            </w:r>
            <w:r>
              <w:rPr>
                <w:noProof/>
                <w:webHidden/>
              </w:rPr>
              <w:instrText xml:space="preserve"> PAGEREF _Toc230187276 \h </w:instrText>
            </w:r>
            <w:r>
              <w:rPr>
                <w:noProof/>
                <w:webHidden/>
              </w:rPr>
            </w:r>
            <w:r>
              <w:rPr>
                <w:noProof/>
                <w:webHidden/>
              </w:rPr>
              <w:fldChar w:fldCharType="separate"/>
            </w:r>
            <w:r>
              <w:rPr>
                <w:noProof/>
                <w:webHidden/>
              </w:rPr>
              <w:t>6</w:t>
            </w:r>
            <w:r>
              <w:rPr>
                <w:noProof/>
                <w:webHidden/>
              </w:rPr>
              <w:fldChar w:fldCharType="end"/>
            </w:r>
          </w:hyperlink>
        </w:p>
        <w:p w14:paraId="641BC003" w14:textId="23DB3A4A"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77" w:history="1">
            <w:r w:rsidRPr="00C0122D">
              <w:rPr>
                <w:rStyle w:val="Hyperlink"/>
                <w:noProof/>
              </w:rPr>
              <w:t>3.1</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MSP Vision and Objectives</w:t>
            </w:r>
            <w:r>
              <w:rPr>
                <w:noProof/>
                <w:webHidden/>
              </w:rPr>
              <w:tab/>
            </w:r>
            <w:r>
              <w:rPr>
                <w:noProof/>
                <w:webHidden/>
              </w:rPr>
              <w:fldChar w:fldCharType="begin"/>
            </w:r>
            <w:r>
              <w:rPr>
                <w:noProof/>
                <w:webHidden/>
              </w:rPr>
              <w:instrText xml:space="preserve"> PAGEREF _Toc230187277 \h </w:instrText>
            </w:r>
            <w:r>
              <w:rPr>
                <w:noProof/>
                <w:webHidden/>
              </w:rPr>
            </w:r>
            <w:r>
              <w:rPr>
                <w:noProof/>
                <w:webHidden/>
              </w:rPr>
              <w:fldChar w:fldCharType="separate"/>
            </w:r>
            <w:r>
              <w:rPr>
                <w:noProof/>
                <w:webHidden/>
              </w:rPr>
              <w:t>7</w:t>
            </w:r>
            <w:r>
              <w:rPr>
                <w:noProof/>
                <w:webHidden/>
              </w:rPr>
              <w:fldChar w:fldCharType="end"/>
            </w:r>
          </w:hyperlink>
        </w:p>
        <w:p w14:paraId="17A22CB4" w14:textId="4453E893"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78" w:history="1">
            <w:r w:rsidRPr="00C0122D">
              <w:rPr>
                <w:rStyle w:val="Hyperlink"/>
                <w:noProof/>
              </w:rPr>
              <w:t>3.2</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Role of Institutions and Agencies</w:t>
            </w:r>
            <w:r>
              <w:rPr>
                <w:noProof/>
                <w:webHidden/>
              </w:rPr>
              <w:tab/>
            </w:r>
            <w:r>
              <w:rPr>
                <w:noProof/>
                <w:webHidden/>
              </w:rPr>
              <w:fldChar w:fldCharType="begin"/>
            </w:r>
            <w:r>
              <w:rPr>
                <w:noProof/>
                <w:webHidden/>
              </w:rPr>
              <w:instrText xml:space="preserve"> PAGEREF _Toc230187278 \h </w:instrText>
            </w:r>
            <w:r>
              <w:rPr>
                <w:noProof/>
                <w:webHidden/>
              </w:rPr>
            </w:r>
            <w:r>
              <w:rPr>
                <w:noProof/>
                <w:webHidden/>
              </w:rPr>
              <w:fldChar w:fldCharType="separate"/>
            </w:r>
            <w:r>
              <w:rPr>
                <w:noProof/>
                <w:webHidden/>
              </w:rPr>
              <w:t>8</w:t>
            </w:r>
            <w:r>
              <w:rPr>
                <w:noProof/>
                <w:webHidden/>
              </w:rPr>
              <w:fldChar w:fldCharType="end"/>
            </w:r>
          </w:hyperlink>
        </w:p>
        <w:p w14:paraId="4399A14C" w14:textId="523A5940"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79" w:history="1">
            <w:r w:rsidRPr="00C0122D">
              <w:rPr>
                <w:rStyle w:val="Hyperlink"/>
                <w:noProof/>
              </w:rPr>
              <w:t>3.3</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Stakeholders Engagement</w:t>
            </w:r>
            <w:r>
              <w:rPr>
                <w:noProof/>
                <w:webHidden/>
              </w:rPr>
              <w:tab/>
            </w:r>
            <w:r>
              <w:rPr>
                <w:noProof/>
                <w:webHidden/>
              </w:rPr>
              <w:fldChar w:fldCharType="begin"/>
            </w:r>
            <w:r>
              <w:rPr>
                <w:noProof/>
                <w:webHidden/>
              </w:rPr>
              <w:instrText xml:space="preserve"> PAGEREF _Toc230187279 \h </w:instrText>
            </w:r>
            <w:r>
              <w:rPr>
                <w:noProof/>
                <w:webHidden/>
              </w:rPr>
            </w:r>
            <w:r>
              <w:rPr>
                <w:noProof/>
                <w:webHidden/>
              </w:rPr>
              <w:fldChar w:fldCharType="separate"/>
            </w:r>
            <w:r>
              <w:rPr>
                <w:noProof/>
                <w:webHidden/>
              </w:rPr>
              <w:t>9</w:t>
            </w:r>
            <w:r>
              <w:rPr>
                <w:noProof/>
                <w:webHidden/>
              </w:rPr>
              <w:fldChar w:fldCharType="end"/>
            </w:r>
          </w:hyperlink>
        </w:p>
        <w:p w14:paraId="77CDCB61" w14:textId="51543419"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80" w:history="1">
            <w:r w:rsidRPr="00C0122D">
              <w:rPr>
                <w:rStyle w:val="Hyperlink"/>
                <w:noProof/>
              </w:rPr>
              <w:t>3.4</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Data and Evidence Gaps</w:t>
            </w:r>
            <w:r>
              <w:rPr>
                <w:noProof/>
                <w:webHidden/>
              </w:rPr>
              <w:tab/>
            </w:r>
            <w:r>
              <w:rPr>
                <w:noProof/>
                <w:webHidden/>
              </w:rPr>
              <w:fldChar w:fldCharType="begin"/>
            </w:r>
            <w:r>
              <w:rPr>
                <w:noProof/>
                <w:webHidden/>
              </w:rPr>
              <w:instrText xml:space="preserve"> PAGEREF _Toc230187280 \h </w:instrText>
            </w:r>
            <w:r>
              <w:rPr>
                <w:noProof/>
                <w:webHidden/>
              </w:rPr>
            </w:r>
            <w:r>
              <w:rPr>
                <w:noProof/>
                <w:webHidden/>
              </w:rPr>
              <w:fldChar w:fldCharType="separate"/>
            </w:r>
            <w:r>
              <w:rPr>
                <w:noProof/>
                <w:webHidden/>
              </w:rPr>
              <w:t>9</w:t>
            </w:r>
            <w:r>
              <w:rPr>
                <w:noProof/>
                <w:webHidden/>
              </w:rPr>
              <w:fldChar w:fldCharType="end"/>
            </w:r>
          </w:hyperlink>
        </w:p>
        <w:p w14:paraId="2D004239" w14:textId="36990ECE"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81" w:history="1">
            <w:r w:rsidRPr="00C0122D">
              <w:rPr>
                <w:rStyle w:val="Hyperlink"/>
                <w:noProof/>
              </w:rPr>
              <w:t>3.5</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Transboundary Cooperation</w:t>
            </w:r>
            <w:r>
              <w:rPr>
                <w:noProof/>
                <w:webHidden/>
              </w:rPr>
              <w:tab/>
            </w:r>
            <w:r>
              <w:rPr>
                <w:noProof/>
                <w:webHidden/>
              </w:rPr>
              <w:fldChar w:fldCharType="begin"/>
            </w:r>
            <w:r>
              <w:rPr>
                <w:noProof/>
                <w:webHidden/>
              </w:rPr>
              <w:instrText xml:space="preserve"> PAGEREF _Toc230187281 \h </w:instrText>
            </w:r>
            <w:r>
              <w:rPr>
                <w:noProof/>
                <w:webHidden/>
              </w:rPr>
            </w:r>
            <w:r>
              <w:rPr>
                <w:noProof/>
                <w:webHidden/>
              </w:rPr>
              <w:fldChar w:fldCharType="separate"/>
            </w:r>
            <w:r>
              <w:rPr>
                <w:noProof/>
                <w:webHidden/>
              </w:rPr>
              <w:t>10</w:t>
            </w:r>
            <w:r>
              <w:rPr>
                <w:noProof/>
                <w:webHidden/>
              </w:rPr>
              <w:fldChar w:fldCharType="end"/>
            </w:r>
          </w:hyperlink>
        </w:p>
        <w:p w14:paraId="7DF95374" w14:textId="47700DCB" w:rsidR="00E91AAB" w:rsidRDefault="00E91AAB">
          <w:pPr>
            <w:pStyle w:val="TOC2"/>
            <w:tabs>
              <w:tab w:val="left" w:pos="880"/>
              <w:tab w:val="right" w:leader="dot" w:pos="9350"/>
            </w:tabs>
            <w:rPr>
              <w:rFonts w:asciiTheme="minorHAnsi" w:eastAsiaTheme="minorEastAsia" w:hAnsiTheme="minorHAnsi" w:cstheme="minorBidi"/>
              <w:b w:val="0"/>
              <w:bCs w:val="0"/>
              <w:noProof/>
              <w:kern w:val="2"/>
              <w:szCs w:val="24"/>
              <w:lang w:val="en-US"/>
              <w14:ligatures w14:val="standardContextual"/>
            </w:rPr>
          </w:pPr>
          <w:hyperlink w:anchor="_Toc230187282" w:history="1">
            <w:r w:rsidRPr="00C0122D">
              <w:rPr>
                <w:rStyle w:val="Hyperlink"/>
                <w:noProof/>
              </w:rPr>
              <w:t>3.6</w:t>
            </w:r>
            <w:r>
              <w:rPr>
                <w:rFonts w:asciiTheme="minorHAnsi" w:eastAsiaTheme="minorEastAsia" w:hAnsiTheme="minorHAnsi" w:cstheme="minorBidi"/>
                <w:b w:val="0"/>
                <w:bCs w:val="0"/>
                <w:noProof/>
                <w:kern w:val="2"/>
                <w:szCs w:val="24"/>
                <w:lang w:val="en-US"/>
                <w14:ligatures w14:val="standardContextual"/>
              </w:rPr>
              <w:tab/>
            </w:r>
            <w:r w:rsidRPr="00C0122D">
              <w:rPr>
                <w:rStyle w:val="Hyperlink"/>
                <w:noProof/>
              </w:rPr>
              <w:t>Funding MSP Processes</w:t>
            </w:r>
            <w:r>
              <w:rPr>
                <w:noProof/>
                <w:webHidden/>
              </w:rPr>
              <w:tab/>
            </w:r>
            <w:r>
              <w:rPr>
                <w:noProof/>
                <w:webHidden/>
              </w:rPr>
              <w:fldChar w:fldCharType="begin"/>
            </w:r>
            <w:r>
              <w:rPr>
                <w:noProof/>
                <w:webHidden/>
              </w:rPr>
              <w:instrText xml:space="preserve"> PAGEREF _Toc230187282 \h </w:instrText>
            </w:r>
            <w:r>
              <w:rPr>
                <w:noProof/>
                <w:webHidden/>
              </w:rPr>
            </w:r>
            <w:r>
              <w:rPr>
                <w:noProof/>
                <w:webHidden/>
              </w:rPr>
              <w:fldChar w:fldCharType="separate"/>
            </w:r>
            <w:r>
              <w:rPr>
                <w:noProof/>
                <w:webHidden/>
              </w:rPr>
              <w:t>13</w:t>
            </w:r>
            <w:r>
              <w:rPr>
                <w:noProof/>
                <w:webHidden/>
              </w:rPr>
              <w:fldChar w:fldCharType="end"/>
            </w:r>
          </w:hyperlink>
        </w:p>
        <w:p w14:paraId="610385AB" w14:textId="6BFCB785" w:rsidR="00E91AAB" w:rsidRDefault="00E91AAB">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83" w:history="1">
            <w:r w:rsidRPr="00C0122D">
              <w:rPr>
                <w:rStyle w:val="Hyperlink"/>
                <w:noProof/>
              </w:rPr>
              <w:t>4</w:t>
            </w:r>
            <w:r>
              <w:rPr>
                <w:rFonts w:asciiTheme="minorHAnsi" w:eastAsiaTheme="minorEastAsia" w:hAnsiTheme="minorHAnsi" w:cstheme="minorBidi"/>
                <w:b w:val="0"/>
                <w:bCs w:val="0"/>
                <w:iCs w:val="0"/>
                <w:noProof/>
                <w:kern w:val="2"/>
                <w:lang w:val="en-US"/>
                <w14:ligatures w14:val="standardContextual"/>
              </w:rPr>
              <w:tab/>
            </w:r>
            <w:r w:rsidRPr="00C0122D">
              <w:rPr>
                <w:rStyle w:val="Hyperlink"/>
                <w:noProof/>
              </w:rPr>
              <w:t>MSP CHALLENGES</w:t>
            </w:r>
            <w:r>
              <w:rPr>
                <w:noProof/>
                <w:webHidden/>
              </w:rPr>
              <w:tab/>
            </w:r>
            <w:r>
              <w:rPr>
                <w:noProof/>
                <w:webHidden/>
              </w:rPr>
              <w:fldChar w:fldCharType="begin"/>
            </w:r>
            <w:r>
              <w:rPr>
                <w:noProof/>
                <w:webHidden/>
              </w:rPr>
              <w:instrText xml:space="preserve"> PAGEREF _Toc230187283 \h </w:instrText>
            </w:r>
            <w:r>
              <w:rPr>
                <w:noProof/>
                <w:webHidden/>
              </w:rPr>
            </w:r>
            <w:r>
              <w:rPr>
                <w:noProof/>
                <w:webHidden/>
              </w:rPr>
              <w:fldChar w:fldCharType="separate"/>
            </w:r>
            <w:r>
              <w:rPr>
                <w:noProof/>
                <w:webHidden/>
              </w:rPr>
              <w:t>13</w:t>
            </w:r>
            <w:r>
              <w:rPr>
                <w:noProof/>
                <w:webHidden/>
              </w:rPr>
              <w:fldChar w:fldCharType="end"/>
            </w:r>
          </w:hyperlink>
        </w:p>
        <w:p w14:paraId="5F2BED20" w14:textId="3E22EE60" w:rsidR="00E91AAB" w:rsidRDefault="00E91AAB">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84" w:history="1">
            <w:r w:rsidRPr="00C0122D">
              <w:rPr>
                <w:rStyle w:val="Hyperlink"/>
                <w:noProof/>
              </w:rPr>
              <w:t>5</w:t>
            </w:r>
            <w:r>
              <w:rPr>
                <w:rFonts w:asciiTheme="minorHAnsi" w:eastAsiaTheme="minorEastAsia" w:hAnsiTheme="minorHAnsi" w:cstheme="minorBidi"/>
                <w:b w:val="0"/>
                <w:bCs w:val="0"/>
                <w:iCs w:val="0"/>
                <w:noProof/>
                <w:kern w:val="2"/>
                <w:lang w:val="en-US"/>
                <w14:ligatures w14:val="standardContextual"/>
              </w:rPr>
              <w:tab/>
            </w:r>
            <w:r w:rsidRPr="00C0122D">
              <w:rPr>
                <w:rStyle w:val="Hyperlink"/>
                <w:noProof/>
              </w:rPr>
              <w:t>MSP BEST PRACTICES AND SUCCESSES</w:t>
            </w:r>
            <w:r>
              <w:rPr>
                <w:noProof/>
                <w:webHidden/>
              </w:rPr>
              <w:tab/>
            </w:r>
            <w:r>
              <w:rPr>
                <w:noProof/>
                <w:webHidden/>
              </w:rPr>
              <w:fldChar w:fldCharType="begin"/>
            </w:r>
            <w:r>
              <w:rPr>
                <w:noProof/>
                <w:webHidden/>
              </w:rPr>
              <w:instrText xml:space="preserve"> PAGEREF _Toc230187284 \h </w:instrText>
            </w:r>
            <w:r>
              <w:rPr>
                <w:noProof/>
                <w:webHidden/>
              </w:rPr>
            </w:r>
            <w:r>
              <w:rPr>
                <w:noProof/>
                <w:webHidden/>
              </w:rPr>
              <w:fldChar w:fldCharType="separate"/>
            </w:r>
            <w:r>
              <w:rPr>
                <w:noProof/>
                <w:webHidden/>
              </w:rPr>
              <w:t>14</w:t>
            </w:r>
            <w:r>
              <w:rPr>
                <w:noProof/>
                <w:webHidden/>
              </w:rPr>
              <w:fldChar w:fldCharType="end"/>
            </w:r>
          </w:hyperlink>
        </w:p>
        <w:p w14:paraId="3334D611" w14:textId="238B0E7E" w:rsidR="00E91AAB" w:rsidRDefault="00E91AAB">
          <w:pPr>
            <w:pStyle w:val="TOC1"/>
            <w:tabs>
              <w:tab w:val="left" w:pos="440"/>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85" w:history="1">
            <w:r w:rsidRPr="00C0122D">
              <w:rPr>
                <w:rStyle w:val="Hyperlink"/>
                <w:noProof/>
              </w:rPr>
              <w:t>6</w:t>
            </w:r>
            <w:r>
              <w:rPr>
                <w:rFonts w:asciiTheme="minorHAnsi" w:eastAsiaTheme="minorEastAsia" w:hAnsiTheme="minorHAnsi" w:cstheme="minorBidi"/>
                <w:b w:val="0"/>
                <w:bCs w:val="0"/>
                <w:iCs w:val="0"/>
                <w:noProof/>
                <w:kern w:val="2"/>
                <w:lang w:val="en-US"/>
                <w14:ligatures w14:val="standardContextual"/>
              </w:rPr>
              <w:tab/>
            </w:r>
            <w:r w:rsidRPr="00C0122D">
              <w:rPr>
                <w:rStyle w:val="Hyperlink"/>
                <w:noProof/>
              </w:rPr>
              <w:t>RECOMMENDATIONS</w:t>
            </w:r>
            <w:r>
              <w:rPr>
                <w:noProof/>
                <w:webHidden/>
              </w:rPr>
              <w:tab/>
            </w:r>
            <w:r>
              <w:rPr>
                <w:noProof/>
                <w:webHidden/>
              </w:rPr>
              <w:fldChar w:fldCharType="begin"/>
            </w:r>
            <w:r>
              <w:rPr>
                <w:noProof/>
                <w:webHidden/>
              </w:rPr>
              <w:instrText xml:space="preserve"> PAGEREF _Toc230187285 \h </w:instrText>
            </w:r>
            <w:r>
              <w:rPr>
                <w:noProof/>
                <w:webHidden/>
              </w:rPr>
            </w:r>
            <w:r>
              <w:rPr>
                <w:noProof/>
                <w:webHidden/>
              </w:rPr>
              <w:fldChar w:fldCharType="separate"/>
            </w:r>
            <w:r>
              <w:rPr>
                <w:noProof/>
                <w:webHidden/>
              </w:rPr>
              <w:t>14</w:t>
            </w:r>
            <w:r>
              <w:rPr>
                <w:noProof/>
                <w:webHidden/>
              </w:rPr>
              <w:fldChar w:fldCharType="end"/>
            </w:r>
          </w:hyperlink>
        </w:p>
        <w:p w14:paraId="0D05242B" w14:textId="2AA4573E" w:rsidR="00E91AAB" w:rsidRDefault="00E91AAB">
          <w:pPr>
            <w:pStyle w:val="TOC1"/>
            <w:tabs>
              <w:tab w:val="right" w:leader="dot" w:pos="9350"/>
            </w:tabs>
            <w:rPr>
              <w:rFonts w:asciiTheme="minorHAnsi" w:eastAsiaTheme="minorEastAsia" w:hAnsiTheme="minorHAnsi" w:cstheme="minorBidi"/>
              <w:b w:val="0"/>
              <w:bCs w:val="0"/>
              <w:iCs w:val="0"/>
              <w:noProof/>
              <w:kern w:val="2"/>
              <w:lang w:val="en-US"/>
              <w14:ligatures w14:val="standardContextual"/>
            </w:rPr>
          </w:pPr>
          <w:hyperlink w:anchor="_Toc230187286" w:history="1">
            <w:r w:rsidRPr="00C0122D">
              <w:rPr>
                <w:rStyle w:val="Hyperlink"/>
                <w:noProof/>
              </w:rPr>
              <w:t>REFERENCES</w:t>
            </w:r>
            <w:r>
              <w:rPr>
                <w:noProof/>
                <w:webHidden/>
              </w:rPr>
              <w:tab/>
            </w:r>
            <w:r>
              <w:rPr>
                <w:noProof/>
                <w:webHidden/>
              </w:rPr>
              <w:fldChar w:fldCharType="begin"/>
            </w:r>
            <w:r>
              <w:rPr>
                <w:noProof/>
                <w:webHidden/>
              </w:rPr>
              <w:instrText xml:space="preserve"> PAGEREF _Toc230187286 \h </w:instrText>
            </w:r>
            <w:r>
              <w:rPr>
                <w:noProof/>
                <w:webHidden/>
              </w:rPr>
            </w:r>
            <w:r>
              <w:rPr>
                <w:noProof/>
                <w:webHidden/>
              </w:rPr>
              <w:fldChar w:fldCharType="separate"/>
            </w:r>
            <w:r>
              <w:rPr>
                <w:noProof/>
                <w:webHidden/>
              </w:rPr>
              <w:t>16</w:t>
            </w:r>
            <w:r>
              <w:rPr>
                <w:noProof/>
                <w:webHidden/>
              </w:rPr>
              <w:fldChar w:fldCharType="end"/>
            </w:r>
          </w:hyperlink>
        </w:p>
        <w:p w14:paraId="47CB3BB0" w14:textId="19493EDE" w:rsidR="007A093A" w:rsidRDefault="00000000">
          <w:pPr>
            <w:pBdr>
              <w:top w:val="nil"/>
              <w:left w:val="nil"/>
              <w:bottom w:val="nil"/>
              <w:right w:val="nil"/>
              <w:between w:val="nil"/>
            </w:pBdr>
            <w:tabs>
              <w:tab w:val="right" w:leader="dot" w:pos="9350"/>
            </w:tabs>
            <w:spacing w:before="120" w:after="0"/>
            <w:rPr>
              <w:rFonts w:ascii="Times New Roman" w:eastAsia="Times New Roman" w:hAnsi="Times New Roman" w:cs="Times New Roman"/>
              <w:b/>
              <w:bCs/>
              <w:color w:val="000000"/>
              <w:sz w:val="24"/>
              <w:szCs w:val="24"/>
            </w:rPr>
          </w:pPr>
          <w:r>
            <w:fldChar w:fldCharType="end"/>
          </w:r>
        </w:p>
      </w:sdtContent>
    </w:sdt>
    <w:p w14:paraId="5ABDA195" w14:textId="77777777" w:rsidR="007A093A" w:rsidRDefault="007A093A">
      <w:pPr>
        <w:spacing w:after="240" w:line="240" w:lineRule="auto"/>
        <w:rPr>
          <w:rFonts w:ascii="Times New Roman" w:eastAsia="Times New Roman" w:hAnsi="Times New Roman" w:cs="Times New Roman"/>
          <w:sz w:val="24"/>
          <w:szCs w:val="24"/>
        </w:rPr>
      </w:pPr>
    </w:p>
    <w:p w14:paraId="37ECB862" w14:textId="77777777" w:rsidR="007A093A" w:rsidRDefault="007A093A">
      <w:pPr>
        <w:spacing w:after="240" w:line="240" w:lineRule="auto"/>
        <w:rPr>
          <w:rFonts w:ascii="Times New Roman" w:eastAsia="Times New Roman" w:hAnsi="Times New Roman" w:cs="Times New Roman"/>
          <w:sz w:val="24"/>
          <w:szCs w:val="24"/>
        </w:rPr>
        <w:sectPr w:rsidR="007A093A" w:rsidSect="00E91AAB">
          <w:pgSz w:w="12240" w:h="15840"/>
          <w:pgMar w:top="1170" w:right="1440" w:bottom="1440" w:left="1440" w:header="144" w:footer="720" w:gutter="0"/>
          <w:pgNumType w:fmt="lowerRoman" w:start="1"/>
          <w:cols w:space="720"/>
        </w:sectPr>
      </w:pPr>
    </w:p>
    <w:p w14:paraId="451CB9E9" w14:textId="77777777" w:rsidR="007A093A" w:rsidRDefault="00000000">
      <w:pPr>
        <w:pStyle w:val="Heading1"/>
        <w:numPr>
          <w:ilvl w:val="0"/>
          <w:numId w:val="1"/>
        </w:numPr>
        <w:spacing w:after="240"/>
        <w:ind w:left="431" w:hanging="431"/>
        <w:rPr>
          <w:b/>
          <w:bCs/>
          <w:sz w:val="24"/>
          <w:szCs w:val="24"/>
        </w:rPr>
      </w:pPr>
      <w:bookmarkStart w:id="0" w:name="_Toc230187272"/>
      <w:r>
        <w:rPr>
          <w:b/>
          <w:bCs/>
          <w:color w:val="000000"/>
          <w:sz w:val="24"/>
          <w:szCs w:val="24"/>
        </w:rPr>
        <w:lastRenderedPageBreak/>
        <w:t>INTRODUCTION</w:t>
      </w:r>
      <w:bookmarkEnd w:id="0"/>
    </w:p>
    <w:p w14:paraId="7A14E9E5" w14:textId="77777777" w:rsidR="007A093A" w:rsidRDefault="00000000">
      <w:pPr>
        <w:pStyle w:val="Heading2"/>
        <w:numPr>
          <w:ilvl w:val="1"/>
          <w:numId w:val="1"/>
        </w:numPr>
        <w:rPr>
          <w:b/>
          <w:bCs/>
          <w:color w:val="000000"/>
        </w:rPr>
      </w:pPr>
      <w:bookmarkStart w:id="1" w:name="_Toc230187273"/>
      <w:r>
        <w:rPr>
          <w:b/>
          <w:bCs/>
          <w:color w:val="000000"/>
        </w:rPr>
        <w:t>Scope</w:t>
      </w:r>
      <w:bookmarkEnd w:id="1"/>
    </w:p>
    <w:p w14:paraId="0F5DF69F"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Caribbean Regional Fisheries Mechanism (CRFM) Secretariat is preparing a Caribbean Regional Marine Spatial Planning Step-by-Step Guide and Protocol under the BE-CLME+ Project, to be delivered by the end of 2025. The Guide and </w:t>
      </w:r>
      <w:r>
        <w:rPr>
          <w:rFonts w:ascii="Times New Roman" w:eastAsia="Times New Roman" w:hAnsi="Times New Roman" w:cs="Times New Roman"/>
          <w:color w:val="000000"/>
        </w:rPr>
        <w:t>Protocol</w:t>
      </w:r>
      <w:r>
        <w:rPr>
          <w:rFonts w:ascii="Times New Roman" w:eastAsia="Times New Roman" w:hAnsi="Times New Roman" w:cs="Times New Roman"/>
        </w:rPr>
        <w:t xml:space="preserve"> will align with international best practice for developing and implementing </w:t>
      </w:r>
      <w:proofErr w:type="gramStart"/>
      <w:r>
        <w:rPr>
          <w:rFonts w:ascii="Times New Roman" w:eastAsia="Times New Roman" w:hAnsi="Times New Roman" w:cs="Times New Roman"/>
        </w:rPr>
        <w:t>MSP</w:t>
      </w:r>
      <w:proofErr w:type="gramEnd"/>
      <w:r>
        <w:rPr>
          <w:rFonts w:ascii="Times New Roman" w:eastAsia="Times New Roman" w:hAnsi="Times New Roman" w:cs="Times New Roman"/>
        </w:rPr>
        <w:t xml:space="preserve"> but it will be tailored to the specific challenges and opportunities of the countries participating in BE-CLME+: Barbados, Belize, Guyana, Jamaica, Panama and Saint Lucia.  </w:t>
      </w:r>
    </w:p>
    <w:p w14:paraId="22CAF221" w14:textId="77777777" w:rsidR="007A093A"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Consultations took place in each country through July and August 2025 to understand how the Guide and Protocol can best </w:t>
      </w:r>
      <w:r>
        <w:rPr>
          <w:rFonts w:ascii="Times New Roman" w:eastAsia="Times New Roman" w:hAnsi="Times New Roman" w:cs="Times New Roman"/>
        </w:rPr>
        <w:t>take</w:t>
      </w:r>
      <w:r>
        <w:rPr>
          <w:rFonts w:ascii="Times New Roman" w:eastAsia="Times New Roman" w:hAnsi="Times New Roman" w:cs="Times New Roman"/>
          <w:color w:val="000000"/>
        </w:rPr>
        <w:t xml:space="preserve"> account of their individual circumstances. The profile provides a detailed overview of the </w:t>
      </w:r>
      <w:proofErr w:type="gramStart"/>
      <w:r>
        <w:rPr>
          <w:rFonts w:ascii="Times New Roman" w:eastAsia="Times New Roman" w:hAnsi="Times New Roman" w:cs="Times New Roman"/>
          <w:color w:val="000000"/>
        </w:rPr>
        <w:t>current status</w:t>
      </w:r>
      <w:proofErr w:type="gramEnd"/>
      <w:r>
        <w:rPr>
          <w:rFonts w:ascii="Times New Roman" w:eastAsia="Times New Roman" w:hAnsi="Times New Roman" w:cs="Times New Roman"/>
          <w:color w:val="000000"/>
        </w:rPr>
        <w:t xml:space="preserve"> of Marine Spatial Planning (MSP), its underpinning drivers and political support, and challenges and recommendations specific to Jamaica. This profile was </w:t>
      </w:r>
      <w:r>
        <w:rPr>
          <w:rFonts w:ascii="Times New Roman" w:eastAsia="Times New Roman" w:hAnsi="Times New Roman" w:cs="Times New Roman"/>
        </w:rPr>
        <w:t xml:space="preserve">originally </w:t>
      </w:r>
      <w:r>
        <w:rPr>
          <w:rFonts w:ascii="Times New Roman" w:eastAsia="Times New Roman" w:hAnsi="Times New Roman" w:cs="Times New Roman"/>
          <w:color w:val="000000"/>
        </w:rPr>
        <w:t xml:space="preserve">prepared in July 2025 in advance of those </w:t>
      </w:r>
      <w:r>
        <w:rPr>
          <w:rFonts w:ascii="Times New Roman" w:eastAsia="Times New Roman" w:hAnsi="Times New Roman" w:cs="Times New Roman"/>
        </w:rPr>
        <w:t>consultations</w:t>
      </w:r>
      <w:r>
        <w:rPr>
          <w:rFonts w:ascii="Times New Roman" w:eastAsia="Times New Roman" w:hAnsi="Times New Roman" w:cs="Times New Roman"/>
          <w:color w:val="000000"/>
        </w:rPr>
        <w:t xml:space="preserve"> based on desk-based research using available documents relevant to MSP in Jamaica to provide an initial baseline of information. The information was tested and refined through consultation with MSP stakeholders in Jamaica, to identify the issues most relevant to the development of the Guide and Protocol. </w:t>
      </w:r>
    </w:p>
    <w:p w14:paraId="5EB79096" w14:textId="77777777" w:rsidR="007A093A" w:rsidRDefault="00000000">
      <w:pPr>
        <w:spacing w:after="240" w:line="276"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The recommendations contained in Section 6 reflect recommendations contained in the various evidence sourced reviewed for how Jamaica can </w:t>
      </w:r>
      <w:r>
        <w:rPr>
          <w:rFonts w:ascii="Times New Roman" w:eastAsia="Times New Roman" w:hAnsi="Times New Roman" w:cs="Times New Roman"/>
        </w:rPr>
        <w:t>further</w:t>
      </w:r>
      <w:r>
        <w:rPr>
          <w:rFonts w:ascii="Times New Roman" w:eastAsia="Times New Roman" w:hAnsi="Times New Roman" w:cs="Times New Roman"/>
          <w:color w:val="000000"/>
        </w:rPr>
        <w:t xml:space="preserve"> progress MSP. They indicate potential future direction of travel for </w:t>
      </w:r>
      <w:proofErr w:type="gramStart"/>
      <w:r>
        <w:rPr>
          <w:rFonts w:ascii="Times New Roman" w:eastAsia="Times New Roman" w:hAnsi="Times New Roman" w:cs="Times New Roman"/>
          <w:color w:val="000000"/>
        </w:rPr>
        <w:t>Jamaica, and</w:t>
      </w:r>
      <w:proofErr w:type="gramEnd"/>
      <w:r>
        <w:rPr>
          <w:rFonts w:ascii="Times New Roman" w:eastAsia="Times New Roman" w:hAnsi="Times New Roman" w:cs="Times New Roman"/>
          <w:color w:val="000000"/>
        </w:rPr>
        <w:t xml:space="preserve"> will be used to understand how the Regional Guide and Protocol can support addressing them. </w:t>
      </w:r>
      <w:r>
        <w:rPr>
          <w:rFonts w:ascii="Times New Roman" w:eastAsia="Times New Roman" w:hAnsi="Times New Roman" w:cs="Times New Roman"/>
        </w:rPr>
        <w:t xml:space="preserve"> </w:t>
      </w:r>
    </w:p>
    <w:p w14:paraId="4332B7F6" w14:textId="77777777" w:rsidR="007A093A" w:rsidRDefault="00000000">
      <w:pPr>
        <w:pStyle w:val="Heading2"/>
        <w:numPr>
          <w:ilvl w:val="1"/>
          <w:numId w:val="1"/>
        </w:numPr>
        <w:rPr>
          <w:b/>
          <w:bCs/>
          <w:color w:val="000000"/>
        </w:rPr>
      </w:pPr>
      <w:bookmarkStart w:id="2" w:name="_Toc230187274"/>
      <w:r>
        <w:rPr>
          <w:b/>
          <w:bCs/>
          <w:color w:val="000000"/>
        </w:rPr>
        <w:t>Context</w:t>
      </w:r>
      <w:bookmarkEnd w:id="2"/>
    </w:p>
    <w:p w14:paraId="0BC840AC"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Jamaica has a significant marine area, with an Exclusive Economic Zone (EEZ) of approximately 235,000 km², which is 24 times the island's land area. An MSP process was implemented at Pedro Bank by the National Environmental and Planning Agency (NEPA) of Jamaica and The Nature Conservancy (TNC). Located approximately 50 miles (80 </w:t>
      </w:r>
      <w:r>
        <w:rPr>
          <w:rFonts w:ascii="Times New Roman" w:eastAsia="Times New Roman" w:hAnsi="Times New Roman" w:cs="Times New Roman"/>
          <w:color w:val="000000"/>
        </w:rPr>
        <w:t>km</w:t>
      </w:r>
      <w:r>
        <w:rPr>
          <w:rFonts w:ascii="Times New Roman" w:eastAsia="Times New Roman" w:hAnsi="Times New Roman" w:cs="Times New Roman"/>
        </w:rPr>
        <w:t xml:space="preserve">) southwest of Jamaica, Pedro Bank is a biologically and </w:t>
      </w:r>
      <w:proofErr w:type="gramStart"/>
      <w:r>
        <w:rPr>
          <w:rFonts w:ascii="Times New Roman" w:eastAsia="Times New Roman" w:hAnsi="Times New Roman" w:cs="Times New Roman"/>
        </w:rPr>
        <w:t>economically-significant</w:t>
      </w:r>
      <w:proofErr w:type="gramEnd"/>
      <w:r>
        <w:rPr>
          <w:rFonts w:ascii="Times New Roman" w:eastAsia="Times New Roman" w:hAnsi="Times New Roman" w:cs="Times New Roman"/>
        </w:rPr>
        <w:t xml:space="preserve"> area. Its three sandy islands (cays) are composed of coral reefs, sand, and sea grass beds. It makes up Jamaica’s main commercial and artisanal fishing grounds, serves as the primary harvesting area for queen conch, and is also an important nesting area for both seabirds and sea turtles. </w:t>
      </w:r>
    </w:p>
    <w:p w14:paraId="1C65B3F8" w14:textId="77777777" w:rsidR="007A093A"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BE149FD" wp14:editId="2CE03CC3">
            <wp:extent cx="5943600" cy="4585970"/>
            <wp:effectExtent l="0" t="0" r="0" b="0"/>
            <wp:docPr id="1789320056" name="image3.png" descr="A map of the north and south pacific&#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map of the north and south pacific&#10;&#10;AI-generated content may be incorrect."/>
                    <pic:cNvPicPr preferRelativeResize="0"/>
                  </pic:nvPicPr>
                  <pic:blipFill>
                    <a:blip r:embed="rId20"/>
                    <a:srcRect/>
                    <a:stretch>
                      <a:fillRect/>
                    </a:stretch>
                  </pic:blipFill>
                  <pic:spPr>
                    <a:xfrm>
                      <a:off x="0" y="0"/>
                      <a:ext cx="5943600" cy="4585970"/>
                    </a:xfrm>
                    <a:prstGeom prst="rect">
                      <a:avLst/>
                    </a:prstGeom>
                    <a:ln/>
                  </pic:spPr>
                </pic:pic>
              </a:graphicData>
            </a:graphic>
          </wp:inline>
        </w:drawing>
      </w:r>
    </w:p>
    <w:p w14:paraId="04B5EE64" w14:textId="77777777" w:rsidR="007A093A" w:rsidRDefault="00000000">
      <w:pPr>
        <w:pBdr>
          <w:top w:val="nil"/>
          <w:left w:val="nil"/>
          <w:bottom w:val="nil"/>
          <w:right w:val="nil"/>
          <w:between w:val="nil"/>
        </w:pBdr>
        <w:spacing w:after="20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Figure 1. Geographic location of the Pedro Bank and a representation of existing </w:t>
      </w:r>
      <w:proofErr w:type="gramStart"/>
      <w:r>
        <w:rPr>
          <w:rFonts w:ascii="Times New Roman" w:eastAsia="Times New Roman" w:hAnsi="Times New Roman" w:cs="Times New Roman"/>
          <w:i/>
          <w:iCs/>
          <w:color w:val="000000"/>
          <w:sz w:val="20"/>
          <w:szCs w:val="20"/>
        </w:rPr>
        <w:t>spatially-based</w:t>
      </w:r>
      <w:proofErr w:type="gramEnd"/>
      <w:r>
        <w:rPr>
          <w:rFonts w:ascii="Times New Roman" w:eastAsia="Times New Roman" w:hAnsi="Times New Roman" w:cs="Times New Roman"/>
          <w:i/>
          <w:iCs/>
          <w:color w:val="000000"/>
          <w:sz w:val="20"/>
          <w:szCs w:val="20"/>
        </w:rPr>
        <w:t xml:space="preserve"> management measures. (Note: the image does not include the more recently designated Pedro Cays Protected Area.</w:t>
      </w:r>
    </w:p>
    <w:p w14:paraId="235AFD30" w14:textId="77777777" w:rsidR="007A093A" w:rsidRDefault="00000000">
      <w:pPr>
        <w:pStyle w:val="Heading1"/>
        <w:numPr>
          <w:ilvl w:val="0"/>
          <w:numId w:val="1"/>
        </w:numPr>
        <w:spacing w:after="240"/>
        <w:ind w:left="431" w:hanging="431"/>
      </w:pPr>
      <w:bookmarkStart w:id="3" w:name="_Toc230187275"/>
      <w:r>
        <w:rPr>
          <w:b/>
          <w:bCs/>
          <w:color w:val="000000"/>
          <w:sz w:val="24"/>
          <w:szCs w:val="24"/>
        </w:rPr>
        <w:t>MSP OVERVIEW</w:t>
      </w:r>
      <w:bookmarkEnd w:id="3"/>
      <w:r>
        <w:tab/>
      </w:r>
    </w:p>
    <w:p w14:paraId="74AFCD03"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This section provides an overview of the status of MSP in Jamaica including relevant policies, lead MSP authority, that status of MSP, planning approach and scope.</w:t>
      </w:r>
    </w:p>
    <w:p w14:paraId="1758DD3C" w14:textId="77777777" w:rsidR="007A093A" w:rsidRDefault="00000000">
      <w:pPr>
        <w:pBdr>
          <w:top w:val="nil"/>
          <w:left w:val="nil"/>
          <w:bottom w:val="nil"/>
          <w:right w:val="nil"/>
          <w:between w:val="nil"/>
        </w:pBdr>
        <w:spacing w:after="20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Table 1. Jamaica MSP overview and status</w:t>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370"/>
      </w:tblGrid>
      <w:tr w:rsidR="007A093A" w14:paraId="4EF74C17" w14:textId="77777777">
        <w:trPr>
          <w:trHeight w:val="151"/>
        </w:trPr>
        <w:tc>
          <w:tcPr>
            <w:tcW w:w="1980" w:type="dxa"/>
          </w:tcPr>
          <w:p w14:paraId="472C0510" w14:textId="77777777" w:rsidR="007A093A" w:rsidRDefault="00000000">
            <w:pPr>
              <w:spacing w:after="120"/>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Criteria</w:t>
            </w:r>
          </w:p>
        </w:tc>
        <w:tc>
          <w:tcPr>
            <w:tcW w:w="7370" w:type="dxa"/>
          </w:tcPr>
          <w:p w14:paraId="7ECB0E7A" w14:textId="77777777" w:rsidR="007A093A" w:rsidRDefault="00000000">
            <w:pPr>
              <w:spacing w:after="120"/>
              <w:jc w:val="both"/>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Overview</w:t>
            </w:r>
          </w:p>
        </w:tc>
      </w:tr>
      <w:tr w:rsidR="007A093A" w14:paraId="54C8D043" w14:textId="77777777">
        <w:tc>
          <w:tcPr>
            <w:tcW w:w="1980" w:type="dxa"/>
          </w:tcPr>
          <w:p w14:paraId="002EEC3F"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MSP Legislation and Policies </w:t>
            </w:r>
          </w:p>
          <w:p w14:paraId="2329D0DB" w14:textId="77777777" w:rsidR="007A093A" w:rsidRDefault="007A093A">
            <w:pPr>
              <w:spacing w:after="120"/>
              <w:rPr>
                <w:rFonts w:ascii="Times New Roman" w:eastAsia="Times New Roman" w:hAnsi="Times New Roman" w:cs="Times New Roman"/>
                <w:b/>
                <w:bCs/>
                <w:sz w:val="21"/>
                <w:szCs w:val="21"/>
              </w:rPr>
            </w:pPr>
          </w:p>
        </w:tc>
        <w:tc>
          <w:tcPr>
            <w:tcW w:w="7370" w:type="dxa"/>
          </w:tcPr>
          <w:p w14:paraId="163E1C3B" w14:textId="77777777" w:rsidR="007A093A"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Towards Ocean and Coastal Zone Management</w:t>
            </w:r>
            <w:r>
              <w:rPr>
                <w:rFonts w:ascii="Times New Roman" w:eastAsia="Times New Roman" w:hAnsi="Times New Roman" w:cs="Times New Roman"/>
                <w:sz w:val="21"/>
                <w:szCs w:val="21"/>
              </w:rPr>
              <w:t xml:space="preserve"> in Jamaica includes a National Action Plan on ocean and coastal zone management as a product of national policy to elevate concern for coastal management to the level of planning and action. It recognises coastal resources as important assets that offer the country manifold economic options. The Action Plan is intended to be consistent with the general direction of the policy on ocean and coastal zone management so that both documents will harmonise in respect of matters relating to the use of coastal resources. The plan is made up of projects that are clustered under programme areas and spread over a period of one five-year cycle in two phases. Phase I spreads over the years zero to two and comprises of eight programme areas, whereas Phase II spreads over years three </w:t>
            </w:r>
            <w:r>
              <w:rPr>
                <w:rFonts w:ascii="Times New Roman" w:eastAsia="Times New Roman" w:hAnsi="Times New Roman" w:cs="Times New Roman"/>
                <w:sz w:val="21"/>
                <w:szCs w:val="21"/>
              </w:rPr>
              <w:lastRenderedPageBreak/>
              <w:t>to five and comprises four programme areas. The overall responsibility for coordinating the implementation of the plan will rest with the National Council on Ocean and Coastal Zone Management.</w:t>
            </w:r>
          </w:p>
          <w:p w14:paraId="67CDCDE9" w14:textId="77777777" w:rsidR="007A093A" w:rsidRDefault="007A093A">
            <w:pPr>
              <w:jc w:val="both"/>
              <w:rPr>
                <w:rFonts w:ascii="Times New Roman" w:eastAsia="Times New Roman" w:hAnsi="Times New Roman" w:cs="Times New Roman"/>
                <w:sz w:val="21"/>
                <w:szCs w:val="21"/>
              </w:rPr>
            </w:pPr>
          </w:p>
          <w:p w14:paraId="5D61529D" w14:textId="77777777" w:rsidR="007A093A"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The Portland Bight Protected Area (PBPA)</w:t>
            </w:r>
            <w:r>
              <w:rPr>
                <w:rFonts w:ascii="Times New Roman" w:eastAsia="Times New Roman" w:hAnsi="Times New Roman" w:cs="Times New Roman"/>
                <w:sz w:val="21"/>
                <w:szCs w:val="21"/>
              </w:rPr>
              <w:t xml:space="preserve"> was designated on 22 April 1999 under section 5 (1) (b) of the Natural Resources Conservation Authority (NRCA) Act, 1991. es regionally important examples of dry limestone forest, and nationally important areas of coral reef, mangrove wetland and seagrass.</w:t>
            </w:r>
          </w:p>
          <w:p w14:paraId="79AB2B3F" w14:textId="77777777" w:rsidR="007A093A" w:rsidRDefault="007A093A">
            <w:pPr>
              <w:jc w:val="both"/>
              <w:rPr>
                <w:rFonts w:ascii="Times New Roman" w:eastAsia="Times New Roman" w:hAnsi="Times New Roman" w:cs="Times New Roman"/>
                <w:sz w:val="21"/>
                <w:szCs w:val="21"/>
              </w:rPr>
            </w:pPr>
          </w:p>
          <w:p w14:paraId="36A70467" w14:textId="77777777" w:rsidR="007A093A"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The Negril Marine Park (NMP)</w:t>
            </w:r>
            <w:r>
              <w:rPr>
                <w:rFonts w:ascii="Times New Roman" w:eastAsia="Times New Roman" w:hAnsi="Times New Roman" w:cs="Times New Roman"/>
                <w:sz w:val="21"/>
                <w:szCs w:val="21"/>
              </w:rPr>
              <w:t xml:space="preserve"> was first declared under the Natural Resources Conservation Authority </w:t>
            </w:r>
            <w:proofErr w:type="gramStart"/>
            <w:r>
              <w:rPr>
                <w:rFonts w:ascii="Times New Roman" w:eastAsia="Times New Roman" w:hAnsi="Times New Roman" w:cs="Times New Roman"/>
                <w:sz w:val="21"/>
                <w:szCs w:val="21"/>
              </w:rPr>
              <w:t>Act  1991</w:t>
            </w:r>
            <w:proofErr w:type="gramEnd"/>
            <w:r>
              <w:rPr>
                <w:rFonts w:ascii="Times New Roman" w:eastAsia="Times New Roman" w:hAnsi="Times New Roman" w:cs="Times New Roman"/>
                <w:sz w:val="21"/>
                <w:szCs w:val="21"/>
              </w:rPr>
              <w:t xml:space="preserve"> and was legally established under the Natural Resources Conservation Act Order (Negril Marine </w:t>
            </w:r>
            <w:proofErr w:type="gramStart"/>
            <w:r>
              <w:rPr>
                <w:rFonts w:ascii="Times New Roman" w:eastAsia="Times New Roman" w:hAnsi="Times New Roman" w:cs="Times New Roman"/>
                <w:sz w:val="21"/>
                <w:szCs w:val="21"/>
              </w:rPr>
              <w:t>Park  Declaration</w:t>
            </w:r>
            <w:proofErr w:type="gramEnd"/>
            <w:r>
              <w:rPr>
                <w:rFonts w:ascii="Times New Roman" w:eastAsia="Times New Roman" w:hAnsi="Times New Roman" w:cs="Times New Roman"/>
                <w:sz w:val="21"/>
                <w:szCs w:val="21"/>
              </w:rPr>
              <w:t>) by the Government of Jamaica on 4 March 1998.</w:t>
            </w:r>
          </w:p>
          <w:p w14:paraId="4060A847" w14:textId="77777777" w:rsidR="007A093A" w:rsidRDefault="007A093A">
            <w:pPr>
              <w:jc w:val="both"/>
              <w:rPr>
                <w:rFonts w:ascii="Times New Roman" w:eastAsia="Times New Roman" w:hAnsi="Times New Roman" w:cs="Times New Roman"/>
                <w:sz w:val="21"/>
                <w:szCs w:val="21"/>
              </w:rPr>
            </w:pPr>
          </w:p>
          <w:p w14:paraId="572482DC" w14:textId="77777777" w:rsidR="007A093A"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The Ocho Rios Marine Park Protected Area (ORMPPA)</w:t>
            </w:r>
            <w:r>
              <w:rPr>
                <w:rFonts w:ascii="Times New Roman" w:eastAsia="Times New Roman" w:hAnsi="Times New Roman" w:cs="Times New Roman"/>
                <w:sz w:val="21"/>
                <w:szCs w:val="21"/>
              </w:rPr>
              <w:t xml:space="preserve"> was designated on 16 August 1999 under section 5 (1) (b) of the Natural Resources Conservation Authority (NRCA) Act, 1991.</w:t>
            </w:r>
          </w:p>
          <w:p w14:paraId="2EBD0E4F" w14:textId="77777777" w:rsidR="007A093A" w:rsidRDefault="007A093A">
            <w:pPr>
              <w:jc w:val="both"/>
              <w:rPr>
                <w:rFonts w:ascii="Times New Roman" w:eastAsia="Times New Roman" w:hAnsi="Times New Roman" w:cs="Times New Roman"/>
                <w:b/>
                <w:bCs/>
                <w:sz w:val="21"/>
                <w:szCs w:val="21"/>
              </w:rPr>
            </w:pPr>
          </w:p>
          <w:p w14:paraId="25DAC51E" w14:textId="77777777" w:rsidR="007A093A" w:rsidRDefault="00000000">
            <w:pPr>
              <w:jc w:val="both"/>
              <w:rPr>
                <w:rFonts w:ascii="Times New Roman" w:eastAsia="Times New Roman" w:hAnsi="Times New Roman" w:cs="Times New Roman"/>
                <w:sz w:val="21"/>
                <w:szCs w:val="21"/>
              </w:rPr>
            </w:pPr>
            <w:r>
              <w:rPr>
                <w:rFonts w:ascii="Times New Roman" w:eastAsia="Times New Roman" w:hAnsi="Times New Roman" w:cs="Times New Roman"/>
                <w:b/>
                <w:bCs/>
                <w:sz w:val="21"/>
                <w:szCs w:val="21"/>
              </w:rPr>
              <w:t>The Natural Resources (Marine Parks) (Amendment) Regulations, 2015</w:t>
            </w:r>
            <w:r>
              <w:rPr>
                <w:rFonts w:ascii="Times New Roman" w:eastAsia="Times New Roman" w:hAnsi="Times New Roman" w:cs="Times New Roman"/>
                <w:sz w:val="21"/>
                <w:szCs w:val="21"/>
              </w:rPr>
              <w:t>, are a set of regulations in Jamaica that govern activities within marine parks. They prohibit activities like destroying or harming marine life (e.g., corals, shells, seaweed), removing natural resources, and attaching structures to coral or rock formations without permission. The regulations also address fishing and other activities within these protected areas</w:t>
            </w:r>
          </w:p>
        </w:tc>
      </w:tr>
      <w:tr w:rsidR="007A093A" w14:paraId="1AA848CA" w14:textId="77777777">
        <w:trPr>
          <w:trHeight w:val="89"/>
        </w:trPr>
        <w:tc>
          <w:tcPr>
            <w:tcW w:w="1980" w:type="dxa"/>
          </w:tcPr>
          <w:p w14:paraId="36EA754E"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Lead MSP Authority</w:t>
            </w:r>
          </w:p>
          <w:p w14:paraId="5BA2F871" w14:textId="77777777" w:rsidR="007A093A" w:rsidRDefault="007A093A">
            <w:pPr>
              <w:spacing w:after="120"/>
              <w:rPr>
                <w:rFonts w:ascii="Times New Roman" w:eastAsia="Times New Roman" w:hAnsi="Times New Roman" w:cs="Times New Roman"/>
                <w:b/>
                <w:bCs/>
                <w:sz w:val="21"/>
                <w:szCs w:val="21"/>
              </w:rPr>
            </w:pPr>
          </w:p>
        </w:tc>
        <w:tc>
          <w:tcPr>
            <w:tcW w:w="7370" w:type="dxa"/>
          </w:tcPr>
          <w:p w14:paraId="1621EF5B" w14:textId="77777777" w:rsidR="007A093A" w:rsidRDefault="00000000">
            <w:pPr>
              <w:spacing w:after="12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 National Council on Oceans and Coastal Zone Management (NCOCZM) and chaired by the Minister of Foreign Affairs and Foreign Trade (MFAFT).</w:t>
            </w:r>
          </w:p>
          <w:p w14:paraId="2EE8238B" w14:textId="77777777" w:rsidR="007A093A" w:rsidRDefault="00000000">
            <w:pPr>
              <w:spacing w:after="12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Jamaica’s blue economy coordinating structure is led by the Ministry of Economic Growth and Job Creation (MEGJC), the National Council on Ocean and Coastal Zone Management (NCOCZM), and the Planning Institute of Jamaica (PIOJ)</w:t>
            </w:r>
          </w:p>
        </w:tc>
      </w:tr>
      <w:tr w:rsidR="007A093A" w14:paraId="2BEF5A45" w14:textId="77777777">
        <w:trPr>
          <w:trHeight w:val="624"/>
        </w:trPr>
        <w:tc>
          <w:tcPr>
            <w:tcW w:w="1980" w:type="dxa"/>
          </w:tcPr>
          <w:p w14:paraId="44FD3730"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 xml:space="preserve">Stage of MSP </w:t>
            </w:r>
          </w:p>
          <w:p w14:paraId="413B030E" w14:textId="77777777" w:rsidR="007A093A" w:rsidRDefault="007A093A">
            <w:pPr>
              <w:spacing w:after="120"/>
              <w:rPr>
                <w:rFonts w:ascii="Times New Roman" w:eastAsia="Times New Roman" w:hAnsi="Times New Roman" w:cs="Times New Roman"/>
                <w:b/>
                <w:bCs/>
                <w:sz w:val="21"/>
                <w:szCs w:val="21"/>
              </w:rPr>
            </w:pPr>
          </w:p>
        </w:tc>
        <w:tc>
          <w:tcPr>
            <w:tcW w:w="7370" w:type="dxa"/>
          </w:tcPr>
          <w:p w14:paraId="0FF10907" w14:textId="77777777" w:rsidR="007A093A" w:rsidRDefault="00000000">
            <w:pPr>
              <w:pBdr>
                <w:top w:val="nil"/>
                <w:left w:val="nil"/>
                <w:bottom w:val="nil"/>
                <w:right w:val="nil"/>
                <w:between w:val="nil"/>
              </w:pBdr>
              <w:spacing w:after="28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Development stage. In April 2018 the Ministry of Economic Growth and Job Creation launched a process for the development of the national spatial plan for Jamaica, including issues related to climate change; the project was established through a grant agreement between the Caribbean Development Bank and the government of Jamaica. The Planning Institute of Jamaica (PIOJ) and the Ministry have included work on the National Spatial Plan in its Adaptation Programme and Financing Mechanism for a Pilot Programme for Climate Resilience.</w:t>
            </w:r>
          </w:p>
          <w:p w14:paraId="2CF41C53" w14:textId="77777777" w:rsidR="007A093A" w:rsidRDefault="00000000">
            <w:pPr>
              <w:pBdr>
                <w:top w:val="nil"/>
                <w:left w:val="nil"/>
                <w:bottom w:val="nil"/>
                <w:right w:val="nil"/>
                <w:between w:val="nil"/>
              </w:pBdr>
              <w:spacing w:before="280" w:after="160"/>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A localised MSP has been piloted at the Pedro Bank </w:t>
            </w:r>
          </w:p>
        </w:tc>
      </w:tr>
      <w:tr w:rsidR="007A093A" w14:paraId="2AC075F3" w14:textId="77777777">
        <w:tc>
          <w:tcPr>
            <w:tcW w:w="1980" w:type="dxa"/>
          </w:tcPr>
          <w:p w14:paraId="1866D2CC"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 Name/MSP Initiative(s)</w:t>
            </w:r>
          </w:p>
          <w:p w14:paraId="3BB1ABC2" w14:textId="77777777" w:rsidR="007A093A" w:rsidRDefault="007A093A">
            <w:pPr>
              <w:spacing w:after="120"/>
              <w:rPr>
                <w:rFonts w:ascii="Times New Roman" w:eastAsia="Times New Roman" w:hAnsi="Times New Roman" w:cs="Times New Roman"/>
                <w:b/>
                <w:bCs/>
                <w:sz w:val="21"/>
                <w:szCs w:val="21"/>
              </w:rPr>
            </w:pPr>
          </w:p>
        </w:tc>
        <w:tc>
          <w:tcPr>
            <w:tcW w:w="7370" w:type="dxa"/>
          </w:tcPr>
          <w:p w14:paraId="2A170E8A"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Pedro Bank MSP was developed by the NEPA of Jamaica and TNC between 2014 and 2015.</w:t>
            </w:r>
          </w:p>
          <w:p w14:paraId="51958E89" w14:textId="77777777" w:rsidR="007A093A" w:rsidRDefault="007A093A">
            <w:pPr>
              <w:pBdr>
                <w:top w:val="nil"/>
                <w:left w:val="nil"/>
                <w:bottom w:val="nil"/>
                <w:right w:val="nil"/>
                <w:between w:val="nil"/>
              </w:pBdr>
              <w:jc w:val="both"/>
              <w:rPr>
                <w:rFonts w:ascii="Times New Roman" w:eastAsia="Times New Roman" w:hAnsi="Times New Roman" w:cs="Times New Roman"/>
                <w:color w:val="000000"/>
                <w:sz w:val="21"/>
                <w:szCs w:val="21"/>
              </w:rPr>
            </w:pPr>
          </w:p>
          <w:p w14:paraId="718A05C4"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process to develop a National Marine Spatial Plan is currently being developed.</w:t>
            </w:r>
          </w:p>
          <w:p w14:paraId="570C34E6" w14:textId="77777777" w:rsidR="007A093A" w:rsidRDefault="007A093A">
            <w:pPr>
              <w:pBdr>
                <w:top w:val="nil"/>
                <w:left w:val="nil"/>
                <w:bottom w:val="nil"/>
                <w:right w:val="nil"/>
                <w:between w:val="nil"/>
              </w:pBdr>
              <w:jc w:val="both"/>
              <w:rPr>
                <w:rFonts w:ascii="Times New Roman" w:eastAsia="Times New Roman" w:hAnsi="Times New Roman" w:cs="Times New Roman"/>
                <w:color w:val="000000"/>
                <w:sz w:val="21"/>
                <w:szCs w:val="21"/>
              </w:rPr>
            </w:pPr>
          </w:p>
          <w:p w14:paraId="0A564FC6"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Jamaica Ecoregional Planning (JERP) project. Have previously outlined conservation areas and strategies for the sustainable use of freshwater, marine and terrestrial biodiversity</w:t>
            </w:r>
          </w:p>
          <w:p w14:paraId="2C3F07D8" w14:textId="77777777" w:rsidR="007A093A" w:rsidRDefault="007A093A">
            <w:pPr>
              <w:pBdr>
                <w:top w:val="nil"/>
                <w:left w:val="nil"/>
                <w:bottom w:val="nil"/>
                <w:right w:val="nil"/>
                <w:between w:val="nil"/>
              </w:pBdr>
              <w:jc w:val="both"/>
              <w:rPr>
                <w:rFonts w:ascii="Times New Roman" w:eastAsia="Times New Roman" w:hAnsi="Times New Roman" w:cs="Times New Roman"/>
                <w:color w:val="000000"/>
                <w:sz w:val="21"/>
                <w:szCs w:val="21"/>
              </w:rPr>
            </w:pPr>
          </w:p>
          <w:p w14:paraId="091CA3B1"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In 2023, with funding from the World Bank, recommendations for a Blue Economy Roadmap for Jamaica were developed in coordination with the Planning Institute of Jamaica (PIOJ) and a multi-agency Technical Review Committee. The Government of Jamaica is currently developing its Blue Economy (BE) plan to promote the </w:t>
            </w:r>
            <w:r>
              <w:rPr>
                <w:rFonts w:ascii="Times New Roman" w:eastAsia="Times New Roman" w:hAnsi="Times New Roman" w:cs="Times New Roman"/>
                <w:color w:val="000000"/>
                <w:sz w:val="21"/>
                <w:szCs w:val="21"/>
              </w:rPr>
              <w:lastRenderedPageBreak/>
              <w:t>sustainable use of ocean resources for economic growth, improved livelihoods, and jobs while preserving the health of ocean ecosystem.</w:t>
            </w:r>
          </w:p>
        </w:tc>
      </w:tr>
      <w:tr w:rsidR="007A093A" w14:paraId="762889C7" w14:textId="77777777">
        <w:trPr>
          <w:trHeight w:val="100"/>
        </w:trPr>
        <w:tc>
          <w:tcPr>
            <w:tcW w:w="1980" w:type="dxa"/>
          </w:tcPr>
          <w:p w14:paraId="3479AB0B"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 Scale</w:t>
            </w:r>
          </w:p>
        </w:tc>
        <w:tc>
          <w:tcPr>
            <w:tcW w:w="7370" w:type="dxa"/>
          </w:tcPr>
          <w:p w14:paraId="3AA38E94"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The Pedro Bank MSP covers the full extent of Pedro Bank - an expansive, submerged bank located approximately 80 km (50 miles) southwest of mainland Jamaica. The plan covers approximately 8,040 km</w:t>
            </w:r>
            <w:r>
              <w:rPr>
                <w:rFonts w:ascii="Times New Roman" w:eastAsia="Times New Roman" w:hAnsi="Times New Roman" w:cs="Times New Roman"/>
                <w:color w:val="000000"/>
                <w:sz w:val="21"/>
                <w:szCs w:val="21"/>
                <w:vertAlign w:val="superscript"/>
              </w:rPr>
              <w:t>2</w:t>
            </w:r>
            <w:r>
              <w:rPr>
                <w:rFonts w:ascii="Times New Roman" w:eastAsia="Times New Roman" w:hAnsi="Times New Roman" w:cs="Times New Roman"/>
                <w:b/>
                <w:bCs/>
                <w:color w:val="000000"/>
                <w:sz w:val="21"/>
                <w:szCs w:val="21"/>
              </w:rPr>
              <w:t xml:space="preserve"> </w:t>
            </w:r>
            <w:r>
              <w:rPr>
                <w:rFonts w:ascii="Times New Roman" w:eastAsia="Times New Roman" w:hAnsi="Times New Roman" w:cs="Times New Roman"/>
                <w:color w:val="000000"/>
                <w:sz w:val="21"/>
                <w:szCs w:val="21"/>
              </w:rPr>
              <w:t>and includes the main plateau of the bank and associated shallow marine habitats, the Pedro Cays, which are key ecological and human-use sites, plus minor cays, shoals, rocks, and important benthic habitats</w:t>
            </w:r>
          </w:p>
          <w:p w14:paraId="2FA1857B" w14:textId="77777777" w:rsidR="007A093A" w:rsidRDefault="007A093A">
            <w:pPr>
              <w:pBdr>
                <w:top w:val="nil"/>
                <w:left w:val="nil"/>
                <w:bottom w:val="nil"/>
                <w:right w:val="nil"/>
                <w:between w:val="nil"/>
              </w:pBdr>
              <w:jc w:val="both"/>
              <w:rPr>
                <w:rFonts w:ascii="Times New Roman" w:eastAsia="Times New Roman" w:hAnsi="Times New Roman" w:cs="Times New Roman"/>
                <w:color w:val="000000"/>
                <w:sz w:val="21"/>
                <w:szCs w:val="21"/>
              </w:rPr>
            </w:pPr>
          </w:p>
          <w:p w14:paraId="628A7E9F"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While a national MSP is currently being discussed, the spatial scale has not yet been announced.</w:t>
            </w:r>
          </w:p>
        </w:tc>
      </w:tr>
      <w:tr w:rsidR="007A093A" w14:paraId="37F54EBE" w14:textId="77777777">
        <w:trPr>
          <w:trHeight w:val="272"/>
        </w:trPr>
        <w:tc>
          <w:tcPr>
            <w:tcW w:w="1980" w:type="dxa"/>
          </w:tcPr>
          <w:p w14:paraId="0C3A8657"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 Scope</w:t>
            </w:r>
          </w:p>
        </w:tc>
        <w:tc>
          <w:tcPr>
            <w:tcW w:w="7370" w:type="dxa"/>
          </w:tcPr>
          <w:p w14:paraId="3C407293"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Jamaican Government is yet to define the national MSP scope. </w:t>
            </w:r>
          </w:p>
          <w:p w14:paraId="0F78495F" w14:textId="77777777" w:rsidR="007A093A" w:rsidRDefault="007A093A">
            <w:pPr>
              <w:pBdr>
                <w:top w:val="nil"/>
                <w:left w:val="nil"/>
                <w:bottom w:val="nil"/>
                <w:right w:val="nil"/>
                <w:between w:val="nil"/>
              </w:pBdr>
              <w:jc w:val="both"/>
              <w:rPr>
                <w:rFonts w:ascii="Times New Roman" w:eastAsia="Times New Roman" w:hAnsi="Times New Roman" w:cs="Times New Roman"/>
                <w:color w:val="000000"/>
                <w:sz w:val="21"/>
                <w:szCs w:val="21"/>
              </w:rPr>
            </w:pPr>
          </w:p>
          <w:p w14:paraId="14A37E6E" w14:textId="77777777" w:rsidR="007A093A" w:rsidRDefault="00000000">
            <w:pPr>
              <w:pBdr>
                <w:top w:val="nil"/>
                <w:left w:val="nil"/>
                <w:bottom w:val="nil"/>
                <w:right w:val="nil"/>
                <w:between w:val="nil"/>
              </w:pBdr>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 xml:space="preserve">The Pedro Bank MSP focussed on create a draft multi-use zoning design for sustainable resource use, building capacity for integrated marine management in Jamaica, and supporting awareness, decision-making, and long-term sustainability for Pedro Bank’s marine ecosystem. </w:t>
            </w:r>
          </w:p>
          <w:p w14:paraId="5F360F49" w14:textId="77777777" w:rsidR="007A093A" w:rsidRDefault="007A093A">
            <w:pPr>
              <w:pBdr>
                <w:top w:val="nil"/>
                <w:left w:val="nil"/>
                <w:bottom w:val="nil"/>
                <w:right w:val="nil"/>
                <w:between w:val="nil"/>
              </w:pBdr>
              <w:jc w:val="both"/>
              <w:rPr>
                <w:rFonts w:ascii="Times New Roman" w:eastAsia="Times New Roman" w:hAnsi="Times New Roman" w:cs="Times New Roman"/>
                <w:color w:val="000000"/>
                <w:sz w:val="21"/>
                <w:szCs w:val="21"/>
              </w:rPr>
            </w:pPr>
          </w:p>
        </w:tc>
      </w:tr>
      <w:tr w:rsidR="007A093A" w14:paraId="65E3FD70" w14:textId="77777777">
        <w:tc>
          <w:tcPr>
            <w:tcW w:w="1980" w:type="dxa"/>
          </w:tcPr>
          <w:p w14:paraId="58DAA617"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Planning Approach</w:t>
            </w:r>
          </w:p>
        </w:tc>
        <w:tc>
          <w:tcPr>
            <w:tcW w:w="7370" w:type="dxa"/>
          </w:tcPr>
          <w:p w14:paraId="57229CBE" w14:textId="77777777" w:rsidR="007A093A" w:rsidRDefault="00000000">
            <w:pPr>
              <w:spacing w:after="12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Multi-use zoning design is expected to guide sustainable use and inform decisions about protected area.</w:t>
            </w:r>
          </w:p>
        </w:tc>
      </w:tr>
      <w:tr w:rsidR="007A093A" w14:paraId="203AEA37" w14:textId="77777777">
        <w:tc>
          <w:tcPr>
            <w:tcW w:w="1980" w:type="dxa"/>
          </w:tcPr>
          <w:p w14:paraId="767E9869" w14:textId="77777777" w:rsidR="007A093A" w:rsidRDefault="00000000">
            <w:pPr>
              <w:spacing w:after="120"/>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Political commitment to MSP</w:t>
            </w:r>
          </w:p>
        </w:tc>
        <w:tc>
          <w:tcPr>
            <w:tcW w:w="7370" w:type="dxa"/>
          </w:tcPr>
          <w:p w14:paraId="71A9F578" w14:textId="77777777" w:rsidR="007A093A" w:rsidRDefault="00000000">
            <w:pPr>
              <w:spacing w:after="120"/>
              <w:jc w:val="both"/>
              <w:rPr>
                <w:rFonts w:ascii="Times New Roman" w:eastAsia="Times New Roman" w:hAnsi="Times New Roman" w:cs="Times New Roman"/>
                <w:sz w:val="21"/>
                <w:szCs w:val="21"/>
              </w:rPr>
            </w:pPr>
            <w:r>
              <w:rPr>
                <w:rFonts w:ascii="Times New Roman" w:eastAsia="Times New Roman" w:hAnsi="Times New Roman" w:cs="Times New Roman"/>
                <w:sz w:val="21"/>
                <w:szCs w:val="21"/>
              </w:rPr>
              <w:t>There are discussions for MSP at the government level and the grant agreement between the Caribbean Development Bank and the Government of Jamaica shows some level of commitment for MSP development.</w:t>
            </w:r>
          </w:p>
        </w:tc>
      </w:tr>
    </w:tbl>
    <w:p w14:paraId="0F380FEF" w14:textId="77777777" w:rsidR="007A093A" w:rsidRDefault="007A093A">
      <w:pPr>
        <w:spacing w:after="120" w:line="276" w:lineRule="auto"/>
        <w:jc w:val="both"/>
        <w:rPr>
          <w:rFonts w:ascii="Times New Roman" w:eastAsia="Times New Roman" w:hAnsi="Times New Roman" w:cs="Times New Roman"/>
          <w:sz w:val="20"/>
          <w:szCs w:val="20"/>
        </w:rPr>
      </w:pPr>
    </w:p>
    <w:p w14:paraId="74C7F007" w14:textId="77777777" w:rsidR="007A093A" w:rsidRDefault="00000000">
      <w:pPr>
        <w:pStyle w:val="Heading1"/>
        <w:numPr>
          <w:ilvl w:val="0"/>
          <w:numId w:val="1"/>
        </w:numPr>
        <w:spacing w:after="240"/>
        <w:ind w:left="431" w:hanging="431"/>
        <w:rPr>
          <w:b/>
          <w:bCs/>
          <w:color w:val="000000"/>
          <w:sz w:val="24"/>
          <w:szCs w:val="24"/>
        </w:rPr>
      </w:pPr>
      <w:bookmarkStart w:id="4" w:name="_Toc230187276"/>
      <w:r>
        <w:rPr>
          <w:b/>
          <w:bCs/>
          <w:color w:val="000000"/>
          <w:sz w:val="24"/>
          <w:szCs w:val="24"/>
        </w:rPr>
        <w:t>MSP PROCESS REVIEW</w:t>
      </w:r>
      <w:bookmarkEnd w:id="4"/>
      <w:r>
        <w:rPr>
          <w:b/>
          <w:bCs/>
          <w:color w:val="000000"/>
          <w:sz w:val="24"/>
          <w:szCs w:val="24"/>
        </w:rPr>
        <w:t xml:space="preserve"> </w:t>
      </w:r>
    </w:p>
    <w:p w14:paraId="35504331"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Pedro Bank MSP process </w:t>
      </w:r>
      <w:r>
        <w:rPr>
          <w:rFonts w:ascii="Times New Roman" w:eastAsia="Times New Roman" w:hAnsi="Times New Roman" w:cs="Times New Roman"/>
          <w:color w:val="000000"/>
        </w:rPr>
        <w:t>followed</w:t>
      </w:r>
      <w:r>
        <w:rPr>
          <w:rFonts w:ascii="Times New Roman" w:eastAsia="Times New Roman" w:hAnsi="Times New Roman" w:cs="Times New Roman"/>
        </w:rPr>
        <w:t xml:space="preserve"> the UNESCO-IOC MSP step by step guide and the 10 MSP steps. The planning process included the following steps:</w:t>
      </w:r>
    </w:p>
    <w:p w14:paraId="632E7202" w14:textId="77777777" w:rsidR="007A093A" w:rsidRDefault="00000000">
      <w:pPr>
        <w:numPr>
          <w:ilvl w:val="0"/>
          <w:numId w:val="2"/>
        </w:numPr>
        <w:pBdr>
          <w:top w:val="nil"/>
          <w:left w:val="nil"/>
          <w:bottom w:val="nil"/>
          <w:right w:val="nil"/>
          <w:between w:val="nil"/>
        </w:pBdr>
        <w:spacing w:after="80" w:line="276"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Instituting stakeholder participation </w:t>
      </w:r>
    </w:p>
    <w:p w14:paraId="07D8B44F" w14:textId="77777777" w:rsidR="007A093A" w:rsidRDefault="00000000">
      <w:pPr>
        <w:numPr>
          <w:ilvl w:val="0"/>
          <w:numId w:val="2"/>
        </w:numPr>
        <w:pBdr>
          <w:top w:val="nil"/>
          <w:left w:val="nil"/>
          <w:bottom w:val="nil"/>
          <w:right w:val="nil"/>
          <w:between w:val="nil"/>
        </w:pBdr>
        <w:spacing w:after="80" w:line="276"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Establishing clear objectives and goals </w:t>
      </w:r>
    </w:p>
    <w:p w14:paraId="1F89FEA9" w14:textId="77777777" w:rsidR="007A093A" w:rsidRDefault="00000000">
      <w:pPr>
        <w:numPr>
          <w:ilvl w:val="0"/>
          <w:numId w:val="2"/>
        </w:numPr>
        <w:pBdr>
          <w:top w:val="nil"/>
          <w:left w:val="nil"/>
          <w:bottom w:val="nil"/>
          <w:right w:val="nil"/>
          <w:between w:val="nil"/>
        </w:pBdr>
        <w:spacing w:after="80" w:line="276"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Preliminary assessment </w:t>
      </w:r>
    </w:p>
    <w:p w14:paraId="0BFB6992" w14:textId="77777777" w:rsidR="007A093A" w:rsidRDefault="00000000">
      <w:pPr>
        <w:numPr>
          <w:ilvl w:val="0"/>
          <w:numId w:val="2"/>
        </w:numPr>
        <w:pBdr>
          <w:top w:val="nil"/>
          <w:left w:val="nil"/>
          <w:bottom w:val="nil"/>
          <w:right w:val="nil"/>
          <w:between w:val="nil"/>
        </w:pBdr>
        <w:spacing w:after="0" w:line="276"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Defining existing and future conditions</w:t>
      </w:r>
    </w:p>
    <w:p w14:paraId="470DC727" w14:textId="77777777" w:rsidR="007A093A" w:rsidRDefault="00000000">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Mapping marine habitats</w:t>
      </w:r>
    </w:p>
    <w:p w14:paraId="769DF716" w14:textId="77777777" w:rsidR="007A093A" w:rsidRDefault="00000000">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Mapping marine resources and space-uses</w:t>
      </w:r>
    </w:p>
    <w:p w14:paraId="251CF19E" w14:textId="77777777" w:rsidR="007A093A" w:rsidRDefault="00000000">
      <w:pPr>
        <w:numPr>
          <w:ilvl w:val="1"/>
          <w:numId w:val="2"/>
        </w:numPr>
        <w:pBdr>
          <w:top w:val="nil"/>
          <w:left w:val="nil"/>
          <w:bottom w:val="nil"/>
          <w:right w:val="nil"/>
          <w:between w:val="nil"/>
        </w:pBdr>
        <w:spacing w:after="80" w:line="276" w:lineRule="auto"/>
        <w:ind w:left="143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Building a multi-objective database </w:t>
      </w:r>
    </w:p>
    <w:p w14:paraId="626E0028" w14:textId="77777777" w:rsidR="007A093A" w:rsidRDefault="00000000">
      <w:pPr>
        <w:numPr>
          <w:ilvl w:val="0"/>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Providing decision-support products</w:t>
      </w:r>
    </w:p>
    <w:p w14:paraId="3108DC7E" w14:textId="77777777" w:rsidR="007A093A" w:rsidRDefault="00000000">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Identifying priority conservation areas </w:t>
      </w:r>
    </w:p>
    <w:p w14:paraId="3BFF9F12" w14:textId="77777777" w:rsidR="007A093A" w:rsidRDefault="00000000">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Visualising fishing patterns </w:t>
      </w:r>
    </w:p>
    <w:p w14:paraId="58865273" w14:textId="77777777" w:rsidR="007A093A" w:rsidRDefault="00000000">
      <w:pPr>
        <w:numPr>
          <w:ilvl w:val="1"/>
          <w:numId w:val="2"/>
        </w:numPr>
        <w:pBdr>
          <w:top w:val="nil"/>
          <w:left w:val="nil"/>
          <w:bottom w:val="nil"/>
          <w:right w:val="nil"/>
          <w:between w:val="nil"/>
        </w:pBdr>
        <w:spacing w:after="80" w:line="276" w:lineRule="auto"/>
        <w:ind w:left="143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Multi-objective DST analyses </w:t>
      </w:r>
    </w:p>
    <w:p w14:paraId="3415E89C" w14:textId="77777777" w:rsidR="007A093A" w:rsidRDefault="00000000">
      <w:pPr>
        <w:numPr>
          <w:ilvl w:val="0"/>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Allocating marine resource and space-use management </w:t>
      </w:r>
    </w:p>
    <w:p w14:paraId="4789728D" w14:textId="77777777" w:rsidR="007A093A" w:rsidRDefault="00000000">
      <w:pPr>
        <w:numPr>
          <w:ilvl w:val="1"/>
          <w:numId w:val="2"/>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Recommending area-specific marine management measures </w:t>
      </w:r>
    </w:p>
    <w:p w14:paraId="7EFC68CE" w14:textId="77777777" w:rsidR="007A093A" w:rsidRDefault="00000000">
      <w:pPr>
        <w:numPr>
          <w:ilvl w:val="1"/>
          <w:numId w:val="2"/>
        </w:numPr>
        <w:pBdr>
          <w:top w:val="nil"/>
          <w:left w:val="nil"/>
          <w:bottom w:val="nil"/>
          <w:right w:val="nil"/>
          <w:between w:val="nil"/>
        </w:pBdr>
        <w:spacing w:after="80" w:line="276" w:lineRule="auto"/>
        <w:ind w:left="143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Generating a marine multi-use zoning design </w:t>
      </w:r>
    </w:p>
    <w:p w14:paraId="344DA205" w14:textId="77777777" w:rsidR="007A093A" w:rsidRDefault="00000000">
      <w:pPr>
        <w:numPr>
          <w:ilvl w:val="0"/>
          <w:numId w:val="2"/>
        </w:numPr>
        <w:pBdr>
          <w:top w:val="nil"/>
          <w:left w:val="nil"/>
          <w:bottom w:val="nil"/>
          <w:right w:val="nil"/>
          <w:between w:val="nil"/>
        </w:pBdr>
        <w:spacing w:after="240" w:line="276" w:lineRule="auto"/>
        <w:ind w:left="71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Implications of MSP for Pedro Bank </w:t>
      </w:r>
    </w:p>
    <w:p w14:paraId="214D64F9" w14:textId="77777777" w:rsidR="007A093A" w:rsidRDefault="00000000">
      <w:pPr>
        <w:pStyle w:val="Heading2"/>
        <w:numPr>
          <w:ilvl w:val="1"/>
          <w:numId w:val="1"/>
        </w:numPr>
        <w:rPr>
          <w:b/>
          <w:bCs/>
          <w:color w:val="000000"/>
        </w:rPr>
      </w:pPr>
      <w:bookmarkStart w:id="5" w:name="_Toc230187277"/>
      <w:r>
        <w:rPr>
          <w:b/>
          <w:bCs/>
          <w:color w:val="000000"/>
        </w:rPr>
        <w:lastRenderedPageBreak/>
        <w:t>MSP Vision and Objectives</w:t>
      </w:r>
      <w:bookmarkEnd w:id="5"/>
    </w:p>
    <w:p w14:paraId="31275F0D" w14:textId="77777777" w:rsidR="007A093A"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MSP vision for the Pedro Bank is “A future where effective and collaborative management of the Pedro Bank and Cays biodiversity and ecosystem health support sustainable livelihoods”. The following guiding principles were developed for the Pedro Bank MSP process:</w:t>
      </w:r>
    </w:p>
    <w:p w14:paraId="4E765136" w14:textId="77777777" w:rsidR="007A093A" w:rsidRDefault="00000000">
      <w:pPr>
        <w:numPr>
          <w:ilvl w:val="0"/>
          <w:numId w:val="8"/>
        </w:numPr>
        <w:pBdr>
          <w:top w:val="nil"/>
          <w:left w:val="nil"/>
          <w:bottom w:val="nil"/>
          <w:right w:val="nil"/>
          <w:between w:val="nil"/>
        </w:pBdr>
        <w:spacing w:after="8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Healthy resources and human well-being</w:t>
      </w:r>
    </w:p>
    <w:p w14:paraId="2C165624"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Ensure pristine marine life and productive resources</w:t>
      </w:r>
    </w:p>
    <w:p w14:paraId="6FF36E87"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Promote sustainable livelihoods</w:t>
      </w:r>
    </w:p>
    <w:p w14:paraId="68E42DDF"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Provide resilience to climate change</w:t>
      </w:r>
    </w:p>
    <w:p w14:paraId="14C0B588"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Support educated communities</w:t>
      </w:r>
    </w:p>
    <w:p w14:paraId="4000DD00"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Encourage honesty and respect by all</w:t>
      </w:r>
    </w:p>
    <w:p w14:paraId="7C2B247C" w14:textId="77777777" w:rsidR="007A093A" w:rsidRDefault="00000000">
      <w:pPr>
        <w:numPr>
          <w:ilvl w:val="1"/>
          <w:numId w:val="8"/>
        </w:numPr>
        <w:pBdr>
          <w:top w:val="nil"/>
          <w:left w:val="nil"/>
          <w:bottom w:val="nil"/>
          <w:right w:val="nil"/>
          <w:between w:val="nil"/>
        </w:pBdr>
        <w:spacing w:line="276" w:lineRule="auto"/>
        <w:ind w:left="1434" w:hanging="357"/>
        <w:rPr>
          <w:rFonts w:ascii="Times New Roman" w:eastAsia="Times New Roman" w:hAnsi="Times New Roman" w:cs="Times New Roman"/>
          <w:color w:val="000000"/>
        </w:rPr>
      </w:pPr>
      <w:r>
        <w:rPr>
          <w:rFonts w:ascii="Times New Roman" w:eastAsia="Times New Roman" w:hAnsi="Times New Roman" w:cs="Times New Roman"/>
          <w:color w:val="000000"/>
        </w:rPr>
        <w:t>Develop an eco-community on the Pedro Cays</w:t>
      </w:r>
    </w:p>
    <w:p w14:paraId="1E23A0EF" w14:textId="77777777" w:rsidR="007A093A" w:rsidRDefault="00000000">
      <w:pPr>
        <w:numPr>
          <w:ilvl w:val="0"/>
          <w:numId w:val="8"/>
        </w:numPr>
        <w:pBdr>
          <w:top w:val="nil"/>
          <w:left w:val="nil"/>
          <w:bottom w:val="nil"/>
          <w:right w:val="nil"/>
          <w:between w:val="nil"/>
        </w:pBdr>
        <w:spacing w:after="80" w:line="276" w:lineRule="auto"/>
        <w:ind w:left="714" w:hanging="357"/>
        <w:rPr>
          <w:rFonts w:ascii="Times New Roman" w:eastAsia="Times New Roman" w:hAnsi="Times New Roman" w:cs="Times New Roman"/>
          <w:b/>
          <w:bCs/>
          <w:color w:val="000000"/>
        </w:rPr>
      </w:pPr>
      <w:r>
        <w:rPr>
          <w:rFonts w:ascii="Times New Roman" w:eastAsia="Times New Roman" w:hAnsi="Times New Roman" w:cs="Times New Roman"/>
          <w:b/>
          <w:bCs/>
          <w:color w:val="000000"/>
        </w:rPr>
        <w:t>Access to comprehensive information</w:t>
      </w:r>
    </w:p>
    <w:p w14:paraId="57E1BC47"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Generate baseline of conditions and monitor changes</w:t>
      </w:r>
    </w:p>
    <w:p w14:paraId="0A00C644"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Improve accountability of decision-making</w:t>
      </w:r>
    </w:p>
    <w:p w14:paraId="5AC2C357" w14:textId="77777777" w:rsidR="007A093A" w:rsidRDefault="00000000">
      <w:pPr>
        <w:numPr>
          <w:ilvl w:val="1"/>
          <w:numId w:val="8"/>
        </w:numPr>
        <w:pBdr>
          <w:top w:val="nil"/>
          <w:left w:val="nil"/>
          <w:bottom w:val="nil"/>
          <w:right w:val="nil"/>
          <w:between w:val="nil"/>
        </w:pBdr>
        <w:spacing w:line="276" w:lineRule="auto"/>
        <w:ind w:left="1434" w:hanging="357"/>
        <w:rPr>
          <w:rFonts w:ascii="Times New Roman" w:eastAsia="Times New Roman" w:hAnsi="Times New Roman" w:cs="Times New Roman"/>
          <w:color w:val="000000"/>
        </w:rPr>
      </w:pPr>
      <w:r>
        <w:rPr>
          <w:rFonts w:ascii="Times New Roman" w:eastAsia="Times New Roman" w:hAnsi="Times New Roman" w:cs="Times New Roman"/>
          <w:color w:val="000000"/>
        </w:rPr>
        <w:t xml:space="preserve">Increase education and awareness of the </w:t>
      </w:r>
      <w:r>
        <w:rPr>
          <w:color w:val="000000"/>
        </w:rPr>
        <w:t>importance</w:t>
      </w:r>
      <w:r>
        <w:rPr>
          <w:rFonts w:ascii="Times New Roman" w:eastAsia="Times New Roman" w:hAnsi="Times New Roman" w:cs="Times New Roman"/>
          <w:color w:val="000000"/>
        </w:rPr>
        <w:t xml:space="preserve"> of Pedro Bank</w:t>
      </w:r>
    </w:p>
    <w:p w14:paraId="7CCCD9FC" w14:textId="77777777" w:rsidR="007A093A" w:rsidRDefault="00000000">
      <w:pPr>
        <w:numPr>
          <w:ilvl w:val="0"/>
          <w:numId w:val="8"/>
        </w:numPr>
        <w:pBdr>
          <w:top w:val="nil"/>
          <w:left w:val="nil"/>
          <w:bottom w:val="nil"/>
          <w:right w:val="nil"/>
          <w:between w:val="nil"/>
        </w:pBdr>
        <w:spacing w:after="80" w:line="276" w:lineRule="auto"/>
        <w:ind w:left="714" w:hanging="357"/>
        <w:rPr>
          <w:rFonts w:ascii="Times New Roman" w:eastAsia="Times New Roman" w:hAnsi="Times New Roman" w:cs="Times New Roman"/>
          <w:b/>
          <w:bCs/>
          <w:color w:val="000000"/>
        </w:rPr>
      </w:pPr>
      <w:r>
        <w:rPr>
          <w:rFonts w:ascii="Times New Roman" w:eastAsia="Times New Roman" w:hAnsi="Times New Roman" w:cs="Times New Roman"/>
          <w:b/>
          <w:bCs/>
          <w:color w:val="000000"/>
        </w:rPr>
        <w:t>Effective integrated management</w:t>
      </w:r>
    </w:p>
    <w:p w14:paraId="59D3A2A3"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Establish an integrated governance structure for MSP implementation</w:t>
      </w:r>
    </w:p>
    <w:p w14:paraId="27133E6D"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Regulate access and ensure sustainable use of resources</w:t>
      </w:r>
    </w:p>
    <w:p w14:paraId="284EB510"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Create efficient administration, monitoring and evaluation programmes</w:t>
      </w:r>
    </w:p>
    <w:p w14:paraId="6E84FC01" w14:textId="77777777" w:rsidR="007A093A" w:rsidRDefault="00000000">
      <w:pPr>
        <w:numPr>
          <w:ilvl w:val="1"/>
          <w:numId w:val="8"/>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Institute effective regulatory and enforcement mechanisms</w:t>
      </w:r>
    </w:p>
    <w:p w14:paraId="7EC4A05B" w14:textId="77777777" w:rsidR="007A093A" w:rsidRDefault="00000000">
      <w:pPr>
        <w:numPr>
          <w:ilvl w:val="1"/>
          <w:numId w:val="8"/>
        </w:numPr>
        <w:pBdr>
          <w:top w:val="nil"/>
          <w:left w:val="nil"/>
          <w:bottom w:val="nil"/>
          <w:right w:val="nil"/>
          <w:between w:val="nil"/>
        </w:pBdr>
        <w:spacing w:line="276" w:lineRule="auto"/>
        <w:ind w:left="1434" w:hanging="357"/>
        <w:rPr>
          <w:rFonts w:ascii="Times New Roman" w:eastAsia="Times New Roman" w:hAnsi="Times New Roman" w:cs="Times New Roman"/>
          <w:color w:val="000000"/>
        </w:rPr>
      </w:pPr>
      <w:r>
        <w:rPr>
          <w:rFonts w:ascii="Times New Roman" w:eastAsia="Times New Roman" w:hAnsi="Times New Roman" w:cs="Times New Roman"/>
          <w:color w:val="000000"/>
        </w:rPr>
        <w:t>Facilitate responsive and adaptive management</w:t>
      </w:r>
    </w:p>
    <w:p w14:paraId="5848B5C6" w14:textId="77777777" w:rsidR="007A093A"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following goals and objectives were developed for the Pedro Bank MSP: </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A093A" w14:paraId="70854FD6" w14:textId="77777777">
        <w:trPr>
          <w:trHeight w:val="3109"/>
        </w:trPr>
        <w:tc>
          <w:tcPr>
            <w:tcW w:w="9350" w:type="dxa"/>
          </w:tcPr>
          <w:p w14:paraId="78724A5D" w14:textId="77777777" w:rsidR="007A093A" w:rsidRDefault="00000000">
            <w:pPr>
              <w:pBdr>
                <w:top w:val="nil"/>
                <w:left w:val="nil"/>
                <w:bottom w:val="nil"/>
                <w:right w:val="nil"/>
                <w:between w:val="nil"/>
              </w:pBdr>
              <w:spacing w:after="280"/>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Pedro Bank MSP Goals and Objectives</w:t>
            </w:r>
          </w:p>
          <w:p w14:paraId="539BBF08" w14:textId="77777777" w:rsidR="007A093A" w:rsidRDefault="00000000">
            <w:pPr>
              <w:pBdr>
                <w:top w:val="nil"/>
                <w:left w:val="nil"/>
                <w:bottom w:val="nil"/>
                <w:right w:val="nil"/>
                <w:between w:val="nil"/>
              </w:pBdr>
              <w:spacing w:after="280"/>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Conservation of biodiversity</w:t>
            </w:r>
          </w:p>
          <w:p w14:paraId="18FC6974"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Ensure healthy, productive and resilient environment</w:t>
            </w:r>
          </w:p>
          <w:p w14:paraId="26664EEC"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Safeguard ecological diversity and integrity of species and habitats</w:t>
            </w:r>
          </w:p>
          <w:p w14:paraId="3DEE8E06"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Protect natural resources and cultural heritage</w:t>
            </w:r>
          </w:p>
          <w:p w14:paraId="03CB514D" w14:textId="77777777" w:rsidR="007A093A" w:rsidRDefault="00000000">
            <w:pPr>
              <w:numPr>
                <w:ilvl w:val="0"/>
                <w:numId w:val="6"/>
              </w:numPr>
              <w:pBdr>
                <w:top w:val="nil"/>
                <w:left w:val="nil"/>
                <w:bottom w:val="nil"/>
                <w:right w:val="nil"/>
                <w:between w:val="nil"/>
              </w:pBdr>
              <w:spacing w:after="28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Develop effective long-term monitoring of resources and ecosystem services</w:t>
            </w:r>
          </w:p>
          <w:p w14:paraId="29FAB7A3" w14:textId="77777777" w:rsidR="007A093A" w:rsidRDefault="00000000">
            <w:pPr>
              <w:pBdr>
                <w:top w:val="nil"/>
                <w:left w:val="nil"/>
                <w:bottom w:val="nil"/>
                <w:right w:val="nil"/>
                <w:between w:val="nil"/>
              </w:pBdr>
              <w:spacing w:after="280"/>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Abundant and healthy fisheries</w:t>
            </w:r>
          </w:p>
          <w:p w14:paraId="1263B8B1"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Enhance size and diversity of fish stocks</w:t>
            </w:r>
          </w:p>
          <w:p w14:paraId="16B114ED"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Ensure safety for fishers and sustainable fishing practices</w:t>
            </w:r>
          </w:p>
          <w:p w14:paraId="227C8B89"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Optimise sustainable yield (e.g. spend less time at sea to earn living)</w:t>
            </w:r>
          </w:p>
          <w:p w14:paraId="1F01CC88"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Improve fisheries management using a collaborative approach</w:t>
            </w:r>
          </w:p>
          <w:p w14:paraId="23103501"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Generate incentives for compliance, value-added markets &amp; livelihood diversification</w:t>
            </w:r>
          </w:p>
          <w:p w14:paraId="3FCE38A9"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Create effective regulations supported by severe penalties &amp; functional enforcement</w:t>
            </w:r>
          </w:p>
          <w:p w14:paraId="6560884E" w14:textId="77777777" w:rsidR="007A093A" w:rsidRDefault="00000000">
            <w:pPr>
              <w:numPr>
                <w:ilvl w:val="0"/>
                <w:numId w:val="6"/>
              </w:numPr>
              <w:pBdr>
                <w:top w:val="nil"/>
                <w:left w:val="nil"/>
                <w:bottom w:val="nil"/>
                <w:right w:val="nil"/>
                <w:between w:val="nil"/>
              </w:pBdr>
              <w:spacing w:after="28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Strengthen monitoring, control and surveillance using technology</w:t>
            </w:r>
          </w:p>
          <w:p w14:paraId="4359FB2B" w14:textId="77777777" w:rsidR="007A093A" w:rsidRDefault="00000000">
            <w:pPr>
              <w:pBdr>
                <w:top w:val="nil"/>
                <w:left w:val="nil"/>
                <w:bottom w:val="nil"/>
                <w:right w:val="nil"/>
                <w:between w:val="nil"/>
              </w:pBdr>
              <w:spacing w:after="280"/>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Safe transportation</w:t>
            </w:r>
          </w:p>
          <w:p w14:paraId="6E056A7F"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lastRenderedPageBreak/>
              <w:t>Prevent marine pollution and improve maritime safety and management through international, regional and local frameworks</w:t>
            </w:r>
          </w:p>
          <w:p w14:paraId="60D38E15"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Establish transportation corridors, install navigational makers and moorings</w:t>
            </w:r>
          </w:p>
          <w:p w14:paraId="2EFEB6E3"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Enhance education of navigation and safety at sea for fishers</w:t>
            </w:r>
          </w:p>
          <w:p w14:paraId="7CBAF495"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Facilitate safer vessels and equipment to reduce accidents</w:t>
            </w:r>
          </w:p>
          <w:p w14:paraId="2B45FB54" w14:textId="77777777" w:rsidR="007A093A" w:rsidRDefault="00000000">
            <w:pPr>
              <w:numPr>
                <w:ilvl w:val="0"/>
                <w:numId w:val="6"/>
              </w:numPr>
              <w:pBdr>
                <w:top w:val="nil"/>
                <w:left w:val="nil"/>
                <w:bottom w:val="nil"/>
                <w:right w:val="nil"/>
                <w:between w:val="nil"/>
              </w:pBdr>
              <w:spacing w:after="28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Institute vessel monitoring and safety systems for all vessels</w:t>
            </w:r>
          </w:p>
          <w:p w14:paraId="36C7A174" w14:textId="77777777" w:rsidR="007A093A" w:rsidRDefault="00000000">
            <w:pPr>
              <w:pBdr>
                <w:top w:val="nil"/>
                <w:left w:val="nil"/>
                <w:bottom w:val="nil"/>
                <w:right w:val="nil"/>
                <w:between w:val="nil"/>
              </w:pBdr>
              <w:spacing w:after="280"/>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Sustainable future development</w:t>
            </w:r>
          </w:p>
          <w:p w14:paraId="2389B41D"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Establish rigorous permitting and environmental auditing procedures to monitor new development</w:t>
            </w:r>
          </w:p>
          <w:p w14:paraId="74CF6F42"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Adopt best practices (innovative clean technologies) for oil and natural gas development</w:t>
            </w:r>
          </w:p>
          <w:p w14:paraId="54EC360E"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Assure compensation for potential impacts to marine resources and livelihoods</w:t>
            </w:r>
          </w:p>
          <w:p w14:paraId="04E29354" w14:textId="77777777" w:rsidR="007A093A" w:rsidRDefault="00000000">
            <w:pPr>
              <w:numPr>
                <w:ilvl w:val="0"/>
                <w:numId w:val="6"/>
              </w:numPr>
              <w:pBdr>
                <w:top w:val="nil"/>
                <w:left w:val="nil"/>
                <w:bottom w:val="nil"/>
                <w:right w:val="nil"/>
                <w:between w:val="nil"/>
              </w:pBdr>
              <w:spacing w:after="28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Encourage potential for renewable energy production (i.e. wind, tides) opportunities</w:t>
            </w:r>
          </w:p>
          <w:p w14:paraId="033AA1A3" w14:textId="77777777" w:rsidR="007A093A" w:rsidRDefault="00000000">
            <w:pPr>
              <w:pBdr>
                <w:top w:val="nil"/>
                <w:left w:val="nil"/>
                <w:bottom w:val="nil"/>
                <w:right w:val="nil"/>
                <w:between w:val="nil"/>
              </w:pBdr>
              <w:spacing w:after="280"/>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Research for awareness</w:t>
            </w:r>
          </w:p>
          <w:p w14:paraId="7B578C74"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Generate a baseline of conditions using a collaborative monitoring and evaluation framework</w:t>
            </w:r>
          </w:p>
          <w:p w14:paraId="68B43EB8"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Strengthen scientific research capacity and ensure access to information</w:t>
            </w:r>
          </w:p>
          <w:p w14:paraId="65D6FE12"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Increase knowledge and awareness of the importance of Pedro Bank</w:t>
            </w:r>
          </w:p>
          <w:p w14:paraId="03DDE198" w14:textId="77777777" w:rsidR="007A093A" w:rsidRDefault="00000000">
            <w:pPr>
              <w:numPr>
                <w:ilvl w:val="0"/>
                <w:numId w:val="6"/>
              </w:numPr>
              <w:pBdr>
                <w:top w:val="nil"/>
                <w:left w:val="nil"/>
                <w:bottom w:val="nil"/>
                <w:right w:val="nil"/>
                <w:between w:val="nil"/>
              </w:pBd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Educate communities to achieve behavioural change (voluntary compliance)</w:t>
            </w:r>
          </w:p>
          <w:p w14:paraId="72242AA7" w14:textId="77777777" w:rsidR="007A093A" w:rsidRDefault="00000000">
            <w:pPr>
              <w:numPr>
                <w:ilvl w:val="0"/>
                <w:numId w:val="6"/>
              </w:numPr>
              <w:pBdr>
                <w:top w:val="nil"/>
                <w:left w:val="nil"/>
                <w:bottom w:val="nil"/>
                <w:right w:val="nil"/>
                <w:between w:val="nil"/>
              </w:pBdr>
              <w:spacing w:after="16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Facilitate an interpretative experience (representative ecosystem components) and promote potential for alternative livelihood (research tourism)</w:t>
            </w:r>
          </w:p>
        </w:tc>
      </w:tr>
    </w:tbl>
    <w:p w14:paraId="4554B8A8" w14:textId="77777777" w:rsidR="007A093A" w:rsidRDefault="007A093A">
      <w:pPr>
        <w:spacing w:after="120" w:line="276" w:lineRule="auto"/>
        <w:jc w:val="both"/>
        <w:rPr>
          <w:rFonts w:ascii="Times New Roman" w:eastAsia="Times New Roman" w:hAnsi="Times New Roman" w:cs="Times New Roman"/>
          <w:sz w:val="20"/>
          <w:szCs w:val="20"/>
        </w:rPr>
      </w:pPr>
    </w:p>
    <w:p w14:paraId="5E3CDEDE" w14:textId="77777777" w:rsidR="007A093A" w:rsidRDefault="00000000">
      <w:pPr>
        <w:pStyle w:val="Heading2"/>
        <w:numPr>
          <w:ilvl w:val="1"/>
          <w:numId w:val="1"/>
        </w:numPr>
        <w:rPr>
          <w:b/>
          <w:bCs/>
          <w:color w:val="000000"/>
        </w:rPr>
      </w:pPr>
      <w:bookmarkStart w:id="6" w:name="_Toc230187278"/>
      <w:r>
        <w:rPr>
          <w:b/>
          <w:bCs/>
          <w:color w:val="000000"/>
        </w:rPr>
        <w:t>Role of Institutions and Agencies</w:t>
      </w:r>
      <w:bookmarkEnd w:id="6"/>
      <w:r>
        <w:rPr>
          <w:b/>
          <w:bCs/>
          <w:color w:val="000000"/>
        </w:rPr>
        <w:t xml:space="preserve"> </w:t>
      </w:r>
    </w:p>
    <w:p w14:paraId="603EE2AF"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following are key </w:t>
      </w:r>
      <w:r>
        <w:rPr>
          <w:rFonts w:ascii="Times New Roman" w:eastAsia="Times New Roman" w:hAnsi="Times New Roman" w:cs="Times New Roman"/>
          <w:color w:val="000000"/>
        </w:rPr>
        <w:t>stakeholder</w:t>
      </w:r>
      <w:r>
        <w:rPr>
          <w:rFonts w:ascii="Times New Roman" w:eastAsia="Times New Roman" w:hAnsi="Times New Roman" w:cs="Times New Roman"/>
        </w:rPr>
        <w:t xml:space="preserve"> that have remit for MSP in Jamaica:</w:t>
      </w:r>
    </w:p>
    <w:p w14:paraId="678B2CF6"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Foreign Affairs and Foreign Trade</w:t>
      </w:r>
    </w:p>
    <w:p w14:paraId="6148CDF4"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Agriculture, Fisheries, and Mining</w:t>
      </w:r>
    </w:p>
    <w:p w14:paraId="4111FBC2"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Culture, Gender, Entertainment and Sport</w:t>
      </w:r>
    </w:p>
    <w:p w14:paraId="69F40D74"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Economic Growth and Job Creation</w:t>
      </w:r>
    </w:p>
    <w:p w14:paraId="52B4FC06"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Education, Skills, Youth and Information</w:t>
      </w:r>
    </w:p>
    <w:p w14:paraId="043546B4"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Finance and the Public Service</w:t>
      </w:r>
    </w:p>
    <w:p w14:paraId="0AE616AD"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Industry, Investment and Commerce</w:t>
      </w:r>
    </w:p>
    <w:p w14:paraId="38008F90"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Labour and Social Security</w:t>
      </w:r>
    </w:p>
    <w:p w14:paraId="0890614E"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Local Government and Community Development</w:t>
      </w:r>
    </w:p>
    <w:p w14:paraId="25F1A695"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Science, Energy, Telecommunications and Transport</w:t>
      </w:r>
    </w:p>
    <w:p w14:paraId="42907347"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Ministry of Tourism</w:t>
      </w:r>
    </w:p>
    <w:p w14:paraId="3AA339C5"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National Council Oceans &amp; Coastal Zone Management (NCOCZM)</w:t>
      </w:r>
    </w:p>
    <w:p w14:paraId="22EBFF47"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National Environment &amp; Planning Agency (NEPA)</w:t>
      </w:r>
    </w:p>
    <w:p w14:paraId="52AD0FEC" w14:textId="77777777" w:rsidR="007A093A" w:rsidRDefault="00000000">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National Fisheries Authority (NFA)</w:t>
      </w:r>
    </w:p>
    <w:p w14:paraId="5448B55D"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National Solid Waste Management Authority (NSWMA)</w:t>
      </w:r>
    </w:p>
    <w:p w14:paraId="04628875"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Petroleum Cooperation of Jamaica (PCJ)</w:t>
      </w:r>
    </w:p>
    <w:p w14:paraId="5319918C"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Protected Areas Committee (PAC) and the Cays Committee</w:t>
      </w:r>
    </w:p>
    <w:p w14:paraId="16F185AC"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Shipping Association of Jamaica</w:t>
      </w:r>
    </w:p>
    <w:p w14:paraId="4AA1DAD8"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Urban Development Commission (UDC)</w:t>
      </w:r>
    </w:p>
    <w:p w14:paraId="3E55759F"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Veterinary Services Division - Ministry of Agriculture and Fisheries (MOAF)</w:t>
      </w:r>
    </w:p>
    <w:p w14:paraId="6F8E36D7" w14:textId="77777777" w:rsidR="007A093A"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Jamaica Promotions Corporation (JAMPRO)</w:t>
      </w:r>
    </w:p>
    <w:p w14:paraId="3DDACD64" w14:textId="77777777" w:rsidR="007A093A"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Port Authority of Jamaica (PAJ)</w:t>
      </w:r>
    </w:p>
    <w:p w14:paraId="0E0655C4" w14:textId="77777777" w:rsidR="007A093A"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Maritime Authority of Jamaica (MAJ)</w:t>
      </w:r>
    </w:p>
    <w:p w14:paraId="2414EAEA" w14:textId="77777777" w:rsidR="007A093A"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Water Resources Authority (WRA)</w:t>
      </w:r>
    </w:p>
    <w:p w14:paraId="5184DB03" w14:textId="77777777" w:rsidR="007A093A"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Ministry of Education and Youth (MOEY)</w:t>
      </w:r>
    </w:p>
    <w:p w14:paraId="70D2F148" w14:textId="77777777" w:rsidR="007A093A" w:rsidRDefault="00000000">
      <w:pPr>
        <w:numPr>
          <w:ilvl w:val="0"/>
          <w:numId w:val="9"/>
        </w:numPr>
        <w:pBdr>
          <w:top w:val="nil"/>
          <w:left w:val="nil"/>
          <w:bottom w:val="nil"/>
          <w:right w:val="nil"/>
          <w:between w:val="nil"/>
        </w:pBdr>
        <w:spacing w:after="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Ministry of Labour and Social Security (MLSS), and</w:t>
      </w:r>
    </w:p>
    <w:p w14:paraId="677F4646"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Planning Institute of Jamaica (PIOJ) </w:t>
      </w:r>
    </w:p>
    <w:p w14:paraId="18B7D3A8"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Jamaica Defence Force Coast Guard (JDF-CG)</w:t>
      </w:r>
    </w:p>
    <w:p w14:paraId="5F3FA0E8"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Industrial fishing companies</w:t>
      </w:r>
    </w:p>
    <w:p w14:paraId="270CCC0F"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Jamaica Fish Sanctuary Network (JFSN)</w:t>
      </w:r>
    </w:p>
    <w:p w14:paraId="30FD24E1"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Jamaica Fishermen's Cooperative Union (JFCU)</w:t>
      </w:r>
    </w:p>
    <w:p w14:paraId="7A7CA5E0"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Jamaica National Heritage Trust (JNHT)</w:t>
      </w:r>
    </w:p>
    <w:p w14:paraId="1AF46FEC"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Jamaica Yachting Association</w:t>
      </w:r>
    </w:p>
    <w:p w14:paraId="2E7679CA"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Marine Police (JCF-MP)</w:t>
      </w:r>
    </w:p>
    <w:p w14:paraId="122B180C"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Maritime Authority of Jamaica (MAJ)</w:t>
      </w:r>
    </w:p>
    <w:p w14:paraId="1A4639C9"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Nature Conservancy (TNC)</w:t>
      </w:r>
    </w:p>
    <w:p w14:paraId="13239B0E" w14:textId="77777777" w:rsidR="007A093A" w:rsidRDefault="00000000">
      <w:pPr>
        <w:numPr>
          <w:ilvl w:val="0"/>
          <w:numId w:val="7"/>
        </w:numPr>
        <w:pBdr>
          <w:top w:val="nil"/>
          <w:left w:val="nil"/>
          <w:bottom w:val="nil"/>
          <w:right w:val="nil"/>
          <w:between w:val="nil"/>
        </w:pBd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University of the West Indies (UWI)</w:t>
      </w:r>
    </w:p>
    <w:p w14:paraId="5800230E" w14:textId="77777777" w:rsidR="007A093A" w:rsidRDefault="007A093A">
      <w:pPr>
        <w:spacing w:after="120" w:line="276" w:lineRule="auto"/>
        <w:jc w:val="both"/>
        <w:rPr>
          <w:rFonts w:ascii="Times New Roman" w:eastAsia="Times New Roman" w:hAnsi="Times New Roman" w:cs="Times New Roman"/>
          <w:sz w:val="20"/>
          <w:szCs w:val="20"/>
        </w:rPr>
      </w:pPr>
    </w:p>
    <w:p w14:paraId="184DA80E" w14:textId="77777777" w:rsidR="007A093A" w:rsidRDefault="00000000">
      <w:pPr>
        <w:pStyle w:val="Heading2"/>
        <w:numPr>
          <w:ilvl w:val="1"/>
          <w:numId w:val="1"/>
        </w:numPr>
        <w:rPr>
          <w:b/>
          <w:bCs/>
          <w:color w:val="000000"/>
        </w:rPr>
      </w:pPr>
      <w:bookmarkStart w:id="7" w:name="_Toc230187279"/>
      <w:r>
        <w:rPr>
          <w:b/>
          <w:bCs/>
          <w:color w:val="000000"/>
        </w:rPr>
        <w:t>Stakeholders Engagement</w:t>
      </w:r>
      <w:bookmarkEnd w:id="7"/>
    </w:p>
    <w:p w14:paraId="7634DE00" w14:textId="77777777" w:rsidR="007A093A" w:rsidRDefault="00000000">
      <w:pPr>
        <w:spacing w:after="240"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 multi-sectoral stakeholder group, the Pedro Bank Working Group (PBWG), was formed based in part on the pre-existing (2005) Pedro Bank Management Project (PBMP) members to guide the MSP process. The PBWG comprises 35 persons from 26 marine-related public sector agencies, NGOs, academics, artisanal and industrial fishing representatives, and various national marine committee members. The role of the PBWG was to guide stakeholder engagement, provide direction for the project and methods applied, review data and analyses, and work together to make final recommendations for the Pedro Bank.</w:t>
      </w:r>
    </w:p>
    <w:p w14:paraId="653599B0" w14:textId="77777777" w:rsidR="007A093A" w:rsidRDefault="00000000">
      <w:pPr>
        <w:pStyle w:val="Heading2"/>
        <w:numPr>
          <w:ilvl w:val="1"/>
          <w:numId w:val="1"/>
        </w:numPr>
        <w:rPr>
          <w:b/>
          <w:bCs/>
          <w:color w:val="000000"/>
        </w:rPr>
      </w:pPr>
      <w:bookmarkStart w:id="8" w:name="_Toc230187280"/>
      <w:r>
        <w:rPr>
          <w:b/>
          <w:bCs/>
          <w:color w:val="000000"/>
        </w:rPr>
        <w:t>Data and Evidence Gaps</w:t>
      </w:r>
      <w:bookmarkEnd w:id="8"/>
      <w:r>
        <w:rPr>
          <w:b/>
          <w:bCs/>
          <w:color w:val="000000"/>
        </w:rPr>
        <w:t xml:space="preserve"> </w:t>
      </w:r>
    </w:p>
    <w:p w14:paraId="5455E029"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The government of Jamaica has already invested US$50 million to develop the National Spatial Planning Information Technology (NSPIT) Platform whose objective is to function as Jamaica's spatial data infrastructure to improve decision making in planning and national development, providing government agencies, educational institutions, the private sector, and citizens access to Jamaica's spatial data. Currently the development of the NSPIT platform is not yet completed and there is an opportunity to work collaboratively with the NSPIT team to design and implement specific MSP tools within the platform and to promote its use for a national MSP initiative</w:t>
      </w:r>
    </w:p>
    <w:p w14:paraId="7D855BF5"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data and capacity needs </w:t>
      </w:r>
      <w:r>
        <w:rPr>
          <w:rFonts w:ascii="Times New Roman" w:eastAsia="Times New Roman" w:hAnsi="Times New Roman" w:cs="Times New Roman"/>
          <w:color w:val="000000"/>
        </w:rPr>
        <w:t>assessment</w:t>
      </w:r>
      <w:r>
        <w:rPr>
          <w:rFonts w:ascii="Times New Roman" w:eastAsia="Times New Roman" w:hAnsi="Times New Roman" w:cs="Times New Roman"/>
        </w:rPr>
        <w:t xml:space="preserve"> found that there is some basic spatial information exists for use during the baseline assessment for MSP process in Jamaica. Thanks to the efforts of multiple governmental agencies (e.g., NEPA, WRA, etc.) and NGOs (e.g., TNC, Global Fish Watch, etc.) several data is already in a geospatial format (e.g., shapefile, </w:t>
      </w:r>
      <w:proofErr w:type="spellStart"/>
      <w:r>
        <w:rPr>
          <w:rFonts w:ascii="Times New Roman" w:eastAsia="Times New Roman" w:hAnsi="Times New Roman" w:cs="Times New Roman"/>
        </w:rPr>
        <w:t>geotiff</w:t>
      </w:r>
      <w:proofErr w:type="spellEnd"/>
      <w:r>
        <w:rPr>
          <w:rFonts w:ascii="Times New Roman" w:eastAsia="Times New Roman" w:hAnsi="Times New Roman" w:cs="Times New Roman"/>
        </w:rPr>
        <w:t xml:space="preserve">, etc.). However, data found in reports and publications will have to be requested </w:t>
      </w:r>
      <w:proofErr w:type="gramStart"/>
      <w:r>
        <w:rPr>
          <w:rFonts w:ascii="Times New Roman" w:eastAsia="Times New Roman" w:hAnsi="Times New Roman" w:cs="Times New Roman"/>
        </w:rPr>
        <w:t>and in some cases</w:t>
      </w:r>
      <w:proofErr w:type="gramEnd"/>
      <w:r>
        <w:rPr>
          <w:rFonts w:ascii="Times New Roman" w:eastAsia="Times New Roman" w:hAnsi="Times New Roman" w:cs="Times New Roman"/>
        </w:rPr>
        <w:t xml:space="preserve"> digitised, so that it can be included in a GIS project for further analysis.</w:t>
      </w:r>
    </w:p>
    <w:p w14:paraId="0025C8C2"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For the Pedro Bank MSP </w:t>
      </w:r>
      <w:r>
        <w:rPr>
          <w:rFonts w:ascii="Times New Roman" w:eastAsia="Times New Roman" w:hAnsi="Times New Roman" w:cs="Times New Roman"/>
          <w:color w:val="000000"/>
        </w:rPr>
        <w:t>initiative</w:t>
      </w:r>
      <w:r>
        <w:rPr>
          <w:rFonts w:ascii="Times New Roman" w:eastAsia="Times New Roman" w:hAnsi="Times New Roman" w:cs="Times New Roman"/>
        </w:rPr>
        <w:t xml:space="preserve">, a marine habitat map of the Pedro Bank was created in two parts. In 2012 the Living Oceans Foundation (LOF) conducted </w:t>
      </w:r>
      <w:proofErr w:type="gramStart"/>
      <w:r>
        <w:rPr>
          <w:rFonts w:ascii="Times New Roman" w:eastAsia="Times New Roman" w:hAnsi="Times New Roman" w:cs="Times New Roman"/>
        </w:rPr>
        <w:t>a number of</w:t>
      </w:r>
      <w:proofErr w:type="gramEnd"/>
      <w:r>
        <w:rPr>
          <w:rFonts w:ascii="Times New Roman" w:eastAsia="Times New Roman" w:hAnsi="Times New Roman" w:cs="Times New Roman"/>
        </w:rPr>
        <w:t xml:space="preserve"> marine surveys on the Pedro Bank (i.e. </w:t>
      </w:r>
      <w:r>
        <w:rPr>
          <w:rFonts w:ascii="Times New Roman" w:eastAsia="Times New Roman" w:hAnsi="Times New Roman" w:cs="Times New Roman"/>
        </w:rPr>
        <w:lastRenderedPageBreak/>
        <w:t xml:space="preserve">AGGRA surveys, benthic </w:t>
      </w:r>
      <w:r>
        <w:rPr>
          <w:rFonts w:ascii="Times New Roman" w:eastAsia="Times New Roman" w:hAnsi="Times New Roman" w:cs="Times New Roman"/>
          <w:color w:val="000000"/>
        </w:rPr>
        <w:t>habitat</w:t>
      </w:r>
      <w:r>
        <w:rPr>
          <w:rFonts w:ascii="Times New Roman" w:eastAsia="Times New Roman" w:hAnsi="Times New Roman" w:cs="Times New Roman"/>
        </w:rPr>
        <w:t xml:space="preserve"> videos and side-scan sonar measurements). In 2014 Landsat 8 and WorldView-2 satellite imagery were acquired and the LOF data (Bruckner 2012) were classified using digital image processing techniques to develop two benthic habitat mapping products. </w:t>
      </w:r>
    </w:p>
    <w:p w14:paraId="44936C9B"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Participatory research methods (e.g. socio-economic surveys, questionnaires and mapping exercises, marine field surveys) were employed to solicit and incorporate </w:t>
      </w:r>
      <w:proofErr w:type="gramStart"/>
      <w:r>
        <w:rPr>
          <w:rFonts w:ascii="Times New Roman" w:eastAsia="Times New Roman" w:hAnsi="Times New Roman" w:cs="Times New Roman"/>
        </w:rPr>
        <w:t>spatially-based</w:t>
      </w:r>
      <w:proofErr w:type="gramEnd"/>
      <w:r>
        <w:rPr>
          <w:rFonts w:ascii="Times New Roman" w:eastAsia="Times New Roman" w:hAnsi="Times New Roman" w:cs="Times New Roman"/>
        </w:rPr>
        <w:t xml:space="preserve"> local knowledge within the geodatabase and fill information gaps on human use.</w:t>
      </w:r>
    </w:p>
    <w:p w14:paraId="66BA3DA4"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geodatabase was created using </w:t>
      </w:r>
      <w:proofErr w:type="spellStart"/>
      <w:r>
        <w:rPr>
          <w:rFonts w:ascii="Times New Roman" w:eastAsia="Times New Roman" w:hAnsi="Times New Roman" w:cs="Times New Roman"/>
        </w:rPr>
        <w:t>ArcInfo</w:t>
      </w:r>
      <w:proofErr w:type="spellEnd"/>
      <w:r>
        <w:rPr>
          <w:rFonts w:ascii="Times New Roman" w:eastAsia="Times New Roman" w:hAnsi="Times New Roman" w:cs="Times New Roman"/>
        </w:rPr>
        <w:t xml:space="preserve"> version 10.1 software. All data were imported and standardised using ArcMap, ArcCatalog and Arc Toolbox along with the Spatial Analyst extension. All data collected and created were </w:t>
      </w:r>
      <w:r>
        <w:rPr>
          <w:rFonts w:ascii="Times New Roman" w:eastAsia="Times New Roman" w:hAnsi="Times New Roman" w:cs="Times New Roman"/>
          <w:color w:val="000000"/>
        </w:rPr>
        <w:t>organised</w:t>
      </w:r>
      <w:r>
        <w:rPr>
          <w:rFonts w:ascii="Times New Roman" w:eastAsia="Times New Roman" w:hAnsi="Times New Roman" w:cs="Times New Roman"/>
        </w:rPr>
        <w:t xml:space="preserve"> and grouped into feature datasets or similar ‘themes’ of the resource use values, each of which contain </w:t>
      </w:r>
      <w:proofErr w:type="gramStart"/>
      <w:r>
        <w:rPr>
          <w:rFonts w:ascii="Times New Roman" w:eastAsia="Times New Roman" w:hAnsi="Times New Roman" w:cs="Times New Roman"/>
        </w:rPr>
        <w:t>a number of</w:t>
      </w:r>
      <w:proofErr w:type="gramEnd"/>
      <w:r>
        <w:rPr>
          <w:rFonts w:ascii="Times New Roman" w:eastAsia="Times New Roman" w:hAnsi="Times New Roman" w:cs="Times New Roman"/>
        </w:rPr>
        <w:t xml:space="preserve"> corresponding feature classes or ‘layers’ categorised by name, methods, source, geoprocessing performed and identified priority goals</w:t>
      </w:r>
    </w:p>
    <w:p w14:paraId="11DBA1CF" w14:textId="77777777" w:rsidR="007A093A" w:rsidRDefault="00000000">
      <w:pPr>
        <w:spacing w:after="120" w:line="276"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187D41D" wp14:editId="42E13D1E">
            <wp:extent cx="5943600" cy="3891280"/>
            <wp:effectExtent l="0" t="0" r="0" b="0"/>
            <wp:docPr id="1789320055" name="image1.png" descr="A map of a bank&#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map of a bank&#10;&#10;AI-generated content may be incorrect."/>
                    <pic:cNvPicPr preferRelativeResize="0"/>
                  </pic:nvPicPr>
                  <pic:blipFill>
                    <a:blip r:embed="rId21"/>
                    <a:srcRect/>
                    <a:stretch>
                      <a:fillRect/>
                    </a:stretch>
                  </pic:blipFill>
                  <pic:spPr>
                    <a:xfrm>
                      <a:off x="0" y="0"/>
                      <a:ext cx="5943600" cy="3891280"/>
                    </a:xfrm>
                    <a:prstGeom prst="rect">
                      <a:avLst/>
                    </a:prstGeom>
                    <a:ln/>
                  </pic:spPr>
                </pic:pic>
              </a:graphicData>
            </a:graphic>
          </wp:inline>
        </w:drawing>
      </w:r>
    </w:p>
    <w:p w14:paraId="31DB44E3" w14:textId="77777777" w:rsidR="007A093A" w:rsidRDefault="00000000">
      <w:pPr>
        <w:pBdr>
          <w:top w:val="nil"/>
          <w:left w:val="nil"/>
          <w:bottom w:val="nil"/>
          <w:right w:val="nil"/>
          <w:between w:val="nil"/>
        </w:pBdr>
        <w:spacing w:after="20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Figure 2. Pedro Bank MSP Zoning Design</w:t>
      </w:r>
    </w:p>
    <w:p w14:paraId="43EE8544" w14:textId="77777777" w:rsidR="007A093A" w:rsidRDefault="00000000">
      <w:pPr>
        <w:spacing w:after="240"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boundaries of the various zones represented on the multi-use zoning map in many cases are ‘fuzzy’ and used to draw reference to the type or manner of </w:t>
      </w:r>
      <w:proofErr w:type="gramStart"/>
      <w:r>
        <w:rPr>
          <w:rFonts w:ascii="Times New Roman" w:eastAsia="Times New Roman" w:hAnsi="Times New Roman" w:cs="Times New Roman"/>
        </w:rPr>
        <w:t>spatially-explicit</w:t>
      </w:r>
      <w:proofErr w:type="gramEnd"/>
      <w:r>
        <w:rPr>
          <w:rFonts w:ascii="Times New Roman" w:eastAsia="Times New Roman" w:hAnsi="Times New Roman" w:cs="Times New Roman"/>
        </w:rPr>
        <w:t xml:space="preserve"> management measure to be applied. </w:t>
      </w:r>
      <w:proofErr w:type="gramStart"/>
      <w:r>
        <w:rPr>
          <w:rFonts w:ascii="Times New Roman" w:eastAsia="Times New Roman" w:hAnsi="Times New Roman" w:cs="Times New Roman"/>
        </w:rPr>
        <w:t>Therefore</w:t>
      </w:r>
      <w:proofErr w:type="gramEnd"/>
      <w:r>
        <w:rPr>
          <w:rFonts w:ascii="Times New Roman" w:eastAsia="Times New Roman" w:hAnsi="Times New Roman" w:cs="Times New Roman"/>
        </w:rPr>
        <w:t xml:space="preserve"> the depicted zoning boundaries are not to be seen as ‘final’ as further work with key stakeholders must be undertaken to identify the most feasible </w:t>
      </w:r>
      <w:r>
        <w:rPr>
          <w:rFonts w:ascii="Times New Roman" w:eastAsia="Times New Roman" w:hAnsi="Times New Roman" w:cs="Times New Roman"/>
          <w:color w:val="000000"/>
        </w:rPr>
        <w:t>arrangements</w:t>
      </w:r>
      <w:r>
        <w:rPr>
          <w:rFonts w:ascii="Times New Roman" w:eastAsia="Times New Roman" w:hAnsi="Times New Roman" w:cs="Times New Roman"/>
        </w:rPr>
        <w:t xml:space="preserve"> for the Pedro Bank.</w:t>
      </w:r>
    </w:p>
    <w:p w14:paraId="2F143673" w14:textId="77777777" w:rsidR="00E91AAB" w:rsidRDefault="00E91AAB">
      <w:pPr>
        <w:spacing w:after="240" w:line="276" w:lineRule="auto"/>
        <w:jc w:val="both"/>
        <w:rPr>
          <w:rFonts w:ascii="Times New Roman" w:eastAsia="Times New Roman" w:hAnsi="Times New Roman" w:cs="Times New Roman"/>
        </w:rPr>
      </w:pPr>
    </w:p>
    <w:p w14:paraId="307B6283" w14:textId="77777777" w:rsidR="007A093A" w:rsidRDefault="00000000">
      <w:pPr>
        <w:pStyle w:val="Heading2"/>
        <w:numPr>
          <w:ilvl w:val="1"/>
          <w:numId w:val="1"/>
        </w:numPr>
        <w:rPr>
          <w:b/>
          <w:bCs/>
          <w:color w:val="000000"/>
        </w:rPr>
      </w:pPr>
      <w:bookmarkStart w:id="9" w:name="_Toc230187281"/>
      <w:r>
        <w:rPr>
          <w:b/>
          <w:bCs/>
          <w:color w:val="000000"/>
        </w:rPr>
        <w:lastRenderedPageBreak/>
        <w:t>Transboundary Cooperation</w:t>
      </w:r>
      <w:bookmarkEnd w:id="9"/>
    </w:p>
    <w:p w14:paraId="087F0925"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Transboundary cooperation for MSP in Jamica is mainly focused on transboundary marine conservation initiatives between Jamaica, Colombia and </w:t>
      </w:r>
      <w:r>
        <w:rPr>
          <w:rFonts w:ascii="Times New Roman" w:eastAsia="Times New Roman" w:hAnsi="Times New Roman" w:cs="Times New Roman"/>
          <w:color w:val="000000"/>
        </w:rPr>
        <w:t>Nicaragua</w:t>
      </w:r>
      <w:r>
        <w:rPr>
          <w:rFonts w:ascii="Times New Roman" w:eastAsia="Times New Roman" w:hAnsi="Times New Roman" w:cs="Times New Roman"/>
        </w:rPr>
        <w:t xml:space="preserve">. The </w:t>
      </w:r>
      <w:proofErr w:type="spellStart"/>
      <w:r>
        <w:rPr>
          <w:rFonts w:ascii="Times New Roman" w:eastAsia="Times New Roman" w:hAnsi="Times New Roman" w:cs="Times New Roman"/>
        </w:rPr>
        <w:t>Seaflower</w:t>
      </w:r>
      <w:proofErr w:type="spellEnd"/>
      <w:r>
        <w:rPr>
          <w:rFonts w:ascii="Times New Roman" w:eastAsia="Times New Roman" w:hAnsi="Times New Roman" w:cs="Times New Roman"/>
        </w:rPr>
        <w:t xml:space="preserve"> Biosphere Reserve (</w:t>
      </w:r>
      <w:proofErr w:type="gramStart"/>
      <w:r>
        <w:rPr>
          <w:rFonts w:ascii="Times New Roman" w:eastAsia="Times New Roman" w:hAnsi="Times New Roman" w:cs="Times New Roman"/>
        </w:rPr>
        <w:t>SFBR)  located</w:t>
      </w:r>
      <w:proofErr w:type="gramEnd"/>
      <w:r>
        <w:rPr>
          <w:rFonts w:ascii="Times New Roman" w:eastAsia="Times New Roman" w:hAnsi="Times New Roman" w:cs="Times New Roman"/>
        </w:rPr>
        <w:t xml:space="preserve"> on the southwestern side of the Caribbean Sea system was designated as a Biosphere Reserve by UNESCO in 2000 under Colombian, Jamaican, and Nicaraguan jurisdiction (Figure 3). It covers approximately 180,000 km2, and comprises of three main oceanic islands (San Andres, Providencia, and Santa Catalina), a set of cays, and atolls (</w:t>
      </w:r>
      <w:proofErr w:type="spellStart"/>
      <w:r>
        <w:rPr>
          <w:rFonts w:ascii="Times New Roman" w:eastAsia="Times New Roman" w:hAnsi="Times New Roman" w:cs="Times New Roman"/>
        </w:rPr>
        <w:t>Serrana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Serranilla</w:t>
      </w:r>
      <w:proofErr w:type="spellEnd"/>
      <w:r>
        <w:rPr>
          <w:rFonts w:ascii="Times New Roman" w:eastAsia="Times New Roman" w:hAnsi="Times New Roman" w:cs="Times New Roman"/>
        </w:rPr>
        <w:t xml:space="preserve">, Alburquerque, </w:t>
      </w:r>
      <w:proofErr w:type="spellStart"/>
      <w:r>
        <w:rPr>
          <w:rFonts w:ascii="Times New Roman" w:eastAsia="Times New Roman" w:hAnsi="Times New Roman" w:cs="Times New Roman"/>
        </w:rPr>
        <w:t>Roncador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Quitasueño</w:t>
      </w:r>
      <w:proofErr w:type="spellEnd"/>
      <w:r>
        <w:rPr>
          <w:rFonts w:ascii="Times New Roman" w:eastAsia="Times New Roman" w:hAnsi="Times New Roman" w:cs="Times New Roman"/>
        </w:rPr>
        <w:t xml:space="preserve">, and Bajo Nuevo). The SFBR hosts representative </w:t>
      </w:r>
      <w:r>
        <w:rPr>
          <w:rFonts w:ascii="Times New Roman" w:eastAsia="Times New Roman" w:hAnsi="Times New Roman" w:cs="Times New Roman"/>
          <w:color w:val="000000"/>
        </w:rPr>
        <w:t>marine</w:t>
      </w:r>
      <w:r>
        <w:rPr>
          <w:rFonts w:ascii="Times New Roman" w:eastAsia="Times New Roman" w:hAnsi="Times New Roman" w:cs="Times New Roman"/>
        </w:rPr>
        <w:t xml:space="preserve"> and coastal tropical ecosystems such as seagrasses, mangroves, wetlands, reef lagoons, beaches, open sea, dry forests, and coral reefs.</w:t>
      </w:r>
    </w:p>
    <w:p w14:paraId="0C8E83D8" w14:textId="77777777" w:rsidR="007A093A" w:rsidRDefault="007A093A">
      <w:pPr>
        <w:jc w:val="both"/>
        <w:rPr>
          <w:rFonts w:ascii="Times New Roman" w:eastAsia="Times New Roman" w:hAnsi="Times New Roman" w:cs="Times New Roman"/>
        </w:rPr>
      </w:pPr>
    </w:p>
    <w:p w14:paraId="5264C02C" w14:textId="77777777" w:rsidR="007A093A" w:rsidRDefault="00000000">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5F286E8" wp14:editId="542E5868">
            <wp:extent cx="6082319" cy="3504574"/>
            <wp:effectExtent l="0" t="0" r="0" b="0"/>
            <wp:docPr id="1789320058" name="image2.jpg" descr="A map of the island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jpg" descr="A map of the islands&#10;&#10;AI-generated content may be incorrect."/>
                    <pic:cNvPicPr preferRelativeResize="0"/>
                  </pic:nvPicPr>
                  <pic:blipFill>
                    <a:blip r:embed="rId22"/>
                    <a:srcRect/>
                    <a:stretch>
                      <a:fillRect/>
                    </a:stretch>
                  </pic:blipFill>
                  <pic:spPr>
                    <a:xfrm>
                      <a:off x="0" y="0"/>
                      <a:ext cx="6082319" cy="3504574"/>
                    </a:xfrm>
                    <a:prstGeom prst="rect">
                      <a:avLst/>
                    </a:prstGeom>
                    <a:ln/>
                  </pic:spPr>
                </pic:pic>
              </a:graphicData>
            </a:graphic>
          </wp:inline>
        </w:drawing>
      </w:r>
    </w:p>
    <w:p w14:paraId="7E2D357E" w14:textId="77777777" w:rsidR="007A093A" w:rsidRDefault="00000000">
      <w:pPr>
        <w:pBdr>
          <w:top w:val="nil"/>
          <w:left w:val="nil"/>
          <w:bottom w:val="nil"/>
          <w:right w:val="nil"/>
          <w:between w:val="nil"/>
        </w:pBdr>
        <w:spacing w:after="20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Figure 3. Geopolitical division of the </w:t>
      </w:r>
      <w:proofErr w:type="spellStart"/>
      <w:r>
        <w:rPr>
          <w:rFonts w:ascii="Times New Roman" w:eastAsia="Times New Roman" w:hAnsi="Times New Roman" w:cs="Times New Roman"/>
          <w:i/>
          <w:iCs/>
          <w:color w:val="000000"/>
          <w:sz w:val="20"/>
          <w:szCs w:val="20"/>
        </w:rPr>
        <w:t>Seaflower</w:t>
      </w:r>
      <w:proofErr w:type="spellEnd"/>
      <w:r>
        <w:rPr>
          <w:rFonts w:ascii="Times New Roman" w:eastAsia="Times New Roman" w:hAnsi="Times New Roman" w:cs="Times New Roman"/>
          <w:i/>
          <w:iCs/>
          <w:color w:val="000000"/>
          <w:sz w:val="20"/>
          <w:szCs w:val="20"/>
        </w:rPr>
        <w:t xml:space="preserve"> Biosphere Reserve. The coastal/marine strategic ecosystems (yellow, green and blue polygons), and MPA (red brown polygons) location in the Caribbean area</w:t>
      </w:r>
    </w:p>
    <w:p w14:paraId="2C00B743" w14:textId="77777777" w:rsidR="007A093A" w:rsidRDefault="00000000">
      <w:pPr>
        <w:spacing w:line="276" w:lineRule="auto"/>
        <w:jc w:val="both"/>
        <w:rPr>
          <w:rFonts w:ascii="Times New Roman" w:eastAsia="Times New Roman" w:hAnsi="Times New Roman" w:cs="Times New Roman"/>
        </w:rPr>
      </w:pPr>
      <w:proofErr w:type="gramStart"/>
      <w:r>
        <w:rPr>
          <w:rFonts w:ascii="Times New Roman" w:eastAsia="Times New Roman" w:hAnsi="Times New Roman" w:cs="Times New Roman"/>
        </w:rPr>
        <w:t xml:space="preserve">The  </w:t>
      </w:r>
      <w:proofErr w:type="spellStart"/>
      <w:r>
        <w:rPr>
          <w:rFonts w:ascii="Times New Roman" w:eastAsia="Times New Roman" w:hAnsi="Times New Roman" w:cs="Times New Roman"/>
        </w:rPr>
        <w:t>Seaflower</w:t>
      </w:r>
      <w:proofErr w:type="spellEnd"/>
      <w:proofErr w:type="gramEnd"/>
      <w:r>
        <w:rPr>
          <w:rFonts w:ascii="Times New Roman" w:eastAsia="Times New Roman" w:hAnsi="Times New Roman" w:cs="Times New Roman"/>
        </w:rPr>
        <w:t xml:space="preserve"> Marine Protected Area (SMPA) was created in 2005 as part of the SBR, covering 65,000 km</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and including coastal and marine ecosystems with different levels of management and conservational status. Figure 4 below shows the </w:t>
      </w:r>
      <w:r>
        <w:rPr>
          <w:rFonts w:ascii="Times New Roman" w:eastAsia="Times New Roman" w:hAnsi="Times New Roman" w:cs="Times New Roman"/>
          <w:color w:val="000000"/>
        </w:rPr>
        <w:t>location</w:t>
      </w:r>
      <w:r>
        <w:rPr>
          <w:rFonts w:ascii="Times New Roman" w:eastAsia="Times New Roman" w:hAnsi="Times New Roman" w:cs="Times New Roman"/>
        </w:rPr>
        <w:t xml:space="preserve"> of the SMPA within the Joint Regime Area.</w:t>
      </w:r>
    </w:p>
    <w:p w14:paraId="32834687" w14:textId="77777777" w:rsidR="007A093A" w:rsidRDefault="00000000">
      <w:pPr>
        <w:jc w:val="both"/>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11027DBA" wp14:editId="279E0A49">
            <wp:extent cx="5919921" cy="4224671"/>
            <wp:effectExtent l="0" t="0" r="0" b="0"/>
            <wp:docPr id="178932005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3"/>
                    <a:srcRect/>
                    <a:stretch>
                      <a:fillRect/>
                    </a:stretch>
                  </pic:blipFill>
                  <pic:spPr>
                    <a:xfrm>
                      <a:off x="0" y="0"/>
                      <a:ext cx="5919921" cy="4224671"/>
                    </a:xfrm>
                    <a:prstGeom prst="rect">
                      <a:avLst/>
                    </a:prstGeom>
                    <a:ln/>
                  </pic:spPr>
                </pic:pic>
              </a:graphicData>
            </a:graphic>
          </wp:inline>
        </w:drawing>
      </w:r>
    </w:p>
    <w:p w14:paraId="713583EE" w14:textId="77777777" w:rsidR="007A093A" w:rsidRDefault="00000000">
      <w:pPr>
        <w:pBdr>
          <w:top w:val="nil"/>
          <w:left w:val="nil"/>
          <w:bottom w:val="nil"/>
          <w:right w:val="nil"/>
          <w:between w:val="nil"/>
        </w:pBdr>
        <w:spacing w:after="20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 xml:space="preserve">Figure 4. Location of the Marine Protected Area of the </w:t>
      </w:r>
      <w:proofErr w:type="spellStart"/>
      <w:r>
        <w:rPr>
          <w:rFonts w:ascii="Times New Roman" w:eastAsia="Times New Roman" w:hAnsi="Times New Roman" w:cs="Times New Roman"/>
          <w:i/>
          <w:iCs/>
          <w:color w:val="000000"/>
          <w:sz w:val="20"/>
          <w:szCs w:val="20"/>
        </w:rPr>
        <w:t>Seaflower</w:t>
      </w:r>
      <w:proofErr w:type="spellEnd"/>
      <w:r>
        <w:rPr>
          <w:rFonts w:ascii="Times New Roman" w:eastAsia="Times New Roman" w:hAnsi="Times New Roman" w:cs="Times New Roman"/>
          <w:i/>
          <w:iCs/>
          <w:color w:val="000000"/>
          <w:sz w:val="20"/>
          <w:szCs w:val="20"/>
        </w:rPr>
        <w:t xml:space="preserve"> Biosphere Reserve within the Colombian Caribbean and binational joint regime areas. (a) Biotic units for the different banks, cays, and islands of the SBR. (Source: Osorio-</w:t>
      </w:r>
      <w:proofErr w:type="spellStart"/>
      <w:r>
        <w:rPr>
          <w:rFonts w:ascii="Times New Roman" w:eastAsia="Times New Roman" w:hAnsi="Times New Roman" w:cs="Times New Roman"/>
          <w:i/>
          <w:iCs/>
          <w:color w:val="000000"/>
          <w:sz w:val="20"/>
          <w:szCs w:val="20"/>
        </w:rPr>
        <w:t>Cano</w:t>
      </w:r>
      <w:proofErr w:type="spellEnd"/>
      <w:r>
        <w:rPr>
          <w:rFonts w:ascii="Times New Roman" w:eastAsia="Times New Roman" w:hAnsi="Times New Roman" w:cs="Times New Roman"/>
          <w:i/>
          <w:iCs/>
          <w:color w:val="000000"/>
          <w:sz w:val="20"/>
          <w:szCs w:val="20"/>
        </w:rPr>
        <w:t xml:space="preserve"> et al., 2024)</w:t>
      </w:r>
    </w:p>
    <w:p w14:paraId="2D1327F7" w14:textId="77777777" w:rsidR="007A093A" w:rsidRDefault="007A093A">
      <w:pPr>
        <w:jc w:val="both"/>
        <w:rPr>
          <w:rFonts w:ascii="Times New Roman" w:eastAsia="Times New Roman" w:hAnsi="Times New Roman" w:cs="Times New Roman"/>
        </w:rPr>
      </w:pPr>
    </w:p>
    <w:p w14:paraId="52F0F4CA"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Until 2012, the SFBR was under Colombian jurisdiction, with the northernmost zone, a Joint Regimen Area (JRA), being shared with Jamaica. However, after La Haya ruling in </w:t>
      </w:r>
      <w:proofErr w:type="gramStart"/>
      <w:r>
        <w:rPr>
          <w:rFonts w:ascii="Times New Roman" w:eastAsia="Times New Roman" w:hAnsi="Times New Roman" w:cs="Times New Roman"/>
        </w:rPr>
        <w:t>2012  Colombia</w:t>
      </w:r>
      <w:proofErr w:type="gramEnd"/>
      <w:r>
        <w:rPr>
          <w:rFonts w:ascii="Times New Roman" w:eastAsia="Times New Roman" w:hAnsi="Times New Roman" w:cs="Times New Roman"/>
        </w:rPr>
        <w:t xml:space="preserve"> had to yield around 40% of the protected waters to Nicaragua following years of dispute. Colombia continues to exercise sovereignty over cays and islands but vast areas of water that surround </w:t>
      </w:r>
      <w:proofErr w:type="spellStart"/>
      <w:r>
        <w:rPr>
          <w:rFonts w:ascii="Times New Roman" w:eastAsia="Times New Roman" w:hAnsi="Times New Roman" w:cs="Times New Roman"/>
        </w:rPr>
        <w:t>Quitasueño</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Serrana</w:t>
      </w:r>
      <w:proofErr w:type="spellEnd"/>
      <w:r>
        <w:rPr>
          <w:rFonts w:ascii="Times New Roman" w:eastAsia="Times New Roman" w:hAnsi="Times New Roman" w:cs="Times New Roman"/>
        </w:rPr>
        <w:t xml:space="preserve"> are now under Nicaraguan jurisdiction. </w:t>
      </w:r>
    </w:p>
    <w:p w14:paraId="00EBBCDB"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JRA between Jamaica and Colombia has been regulated by the Sanin-Robertson treaty since 1993. The zone is illustrated by the dashed red lines in Figure 3; however, it excludes the maritime area around the cays of </w:t>
      </w:r>
      <w:proofErr w:type="spellStart"/>
      <w:r>
        <w:rPr>
          <w:rFonts w:ascii="Times New Roman" w:eastAsia="Times New Roman" w:hAnsi="Times New Roman" w:cs="Times New Roman"/>
        </w:rPr>
        <w:t>Serranilla</w:t>
      </w:r>
      <w:proofErr w:type="spellEnd"/>
      <w:r>
        <w:rPr>
          <w:rFonts w:ascii="Times New Roman" w:eastAsia="Times New Roman" w:hAnsi="Times New Roman" w:cs="Times New Roman"/>
        </w:rPr>
        <w:t xml:space="preserve"> and Bajo Nuevo which are under Colombian jurisdiction. In the JRA both countries jointly manage, control, explore, and exploit the resources. The Parties may carry out the following activities:</w:t>
      </w:r>
    </w:p>
    <w:p w14:paraId="6EB8DE5E" w14:textId="77777777" w:rsidR="007A093A"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Exploration and exploitation of natural living or non-living resources on the seabed and its subsoil, and other activities for the economic exploitation and exploration.</w:t>
      </w:r>
    </w:p>
    <w:p w14:paraId="4537C0EC" w14:textId="77777777" w:rsidR="007A093A"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The establishment and use of artificial islands, installations, and structures.</w:t>
      </w:r>
    </w:p>
    <w:p w14:paraId="06F0FE05" w14:textId="77777777" w:rsidR="007A093A"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Marine scientific research.</w:t>
      </w:r>
    </w:p>
    <w:p w14:paraId="664DC8F3" w14:textId="77777777" w:rsidR="007A093A"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The protection and preservation of the marine environment.</w:t>
      </w:r>
    </w:p>
    <w:p w14:paraId="512308E3" w14:textId="77777777" w:rsidR="007A093A" w:rsidRDefault="00000000">
      <w:pPr>
        <w:numPr>
          <w:ilvl w:val="0"/>
          <w:numId w:val="4"/>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conservation of living resources.</w:t>
      </w:r>
    </w:p>
    <w:p w14:paraId="4818DAE9" w14:textId="77777777" w:rsidR="007A093A" w:rsidRDefault="00000000">
      <w:pPr>
        <w:numPr>
          <w:ilvl w:val="0"/>
          <w:numId w:val="4"/>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Neither Colombia nor Jamaica can authorise other countries, organisations, or foreign vessels to carry out any activities there</w:t>
      </w:r>
    </w:p>
    <w:p w14:paraId="7C92EC71" w14:textId="77777777" w:rsidR="007A093A" w:rsidRDefault="00000000">
      <w:pPr>
        <w:spacing w:after="240"/>
        <w:jc w:val="both"/>
        <w:rPr>
          <w:rFonts w:ascii="Times New Roman" w:eastAsia="Times New Roman" w:hAnsi="Times New Roman" w:cs="Times New Roman"/>
        </w:rPr>
      </w:pPr>
      <w:r>
        <w:rPr>
          <w:rFonts w:ascii="Times New Roman" w:eastAsia="Times New Roman" w:hAnsi="Times New Roman" w:cs="Times New Roman"/>
        </w:rPr>
        <w:t xml:space="preserve">All countries have </w:t>
      </w:r>
      <w:r>
        <w:rPr>
          <w:rFonts w:ascii="Times New Roman" w:eastAsia="Times New Roman" w:hAnsi="Times New Roman" w:cs="Times New Roman"/>
          <w:color w:val="000000"/>
        </w:rPr>
        <w:t>ecosystems (mainly corals, seagrass, and mangroves) subject to protection and have developed different governance</w:t>
      </w:r>
      <w:r>
        <w:rPr>
          <w:rFonts w:ascii="Times New Roman" w:eastAsia="Times New Roman" w:hAnsi="Times New Roman" w:cs="Times New Roman"/>
        </w:rPr>
        <w:t xml:space="preserve"> instruments to protect them.</w:t>
      </w:r>
    </w:p>
    <w:p w14:paraId="2B85960D" w14:textId="77777777" w:rsidR="007A093A" w:rsidRDefault="00000000">
      <w:pPr>
        <w:pStyle w:val="Heading2"/>
        <w:numPr>
          <w:ilvl w:val="1"/>
          <w:numId w:val="1"/>
        </w:numPr>
        <w:rPr>
          <w:b/>
          <w:bCs/>
          <w:color w:val="000000"/>
        </w:rPr>
      </w:pPr>
      <w:bookmarkStart w:id="10" w:name="_Toc230187282"/>
      <w:r>
        <w:rPr>
          <w:b/>
          <w:bCs/>
          <w:color w:val="000000"/>
        </w:rPr>
        <w:t>Funding MSP Processes</w:t>
      </w:r>
      <w:bookmarkEnd w:id="10"/>
      <w:r>
        <w:rPr>
          <w:b/>
          <w:bCs/>
          <w:color w:val="000000"/>
        </w:rPr>
        <w:t xml:space="preserve"> </w:t>
      </w:r>
    </w:p>
    <w:p w14:paraId="3EDA32E2"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TNC played a role assisting with establishing an endowment for the Pedro Bank MSP. The Caribbean Challenge Initiative and the </w:t>
      </w:r>
      <w:r>
        <w:rPr>
          <w:rFonts w:ascii="Times New Roman" w:eastAsia="Times New Roman" w:hAnsi="Times New Roman" w:cs="Times New Roman"/>
          <w:color w:val="000000"/>
        </w:rPr>
        <w:t>Caribbean</w:t>
      </w:r>
      <w:r>
        <w:rPr>
          <w:rFonts w:ascii="Times New Roman" w:eastAsia="Times New Roman" w:hAnsi="Times New Roman" w:cs="Times New Roman"/>
        </w:rPr>
        <w:t xml:space="preserve"> Biodiversity Fund. provided financial support for the project. TNC has made an initial pledge of $8 million USD into the fund. The National Environment and Planning Agency contracted TNC to conduct participatory GIS (PGIS) leading to the development of the MSP and zoning design. </w:t>
      </w:r>
    </w:p>
    <w:p w14:paraId="53DEF0DA" w14:textId="77777777" w:rsidR="007A093A" w:rsidRDefault="00000000">
      <w:pPr>
        <w:pStyle w:val="Heading1"/>
        <w:numPr>
          <w:ilvl w:val="0"/>
          <w:numId w:val="1"/>
        </w:numPr>
        <w:spacing w:after="240"/>
        <w:ind w:left="431" w:hanging="431"/>
        <w:rPr>
          <w:b/>
          <w:bCs/>
          <w:color w:val="000000"/>
          <w:sz w:val="24"/>
          <w:szCs w:val="24"/>
        </w:rPr>
      </w:pPr>
      <w:bookmarkStart w:id="11" w:name="_Toc230187283"/>
      <w:r>
        <w:rPr>
          <w:b/>
          <w:bCs/>
          <w:color w:val="000000"/>
          <w:sz w:val="24"/>
          <w:szCs w:val="24"/>
        </w:rPr>
        <w:t>MSP CHALLENGES</w:t>
      </w:r>
      <w:bookmarkEnd w:id="11"/>
    </w:p>
    <w:p w14:paraId="2ACAB27D"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following are key challenges of </w:t>
      </w:r>
      <w:r>
        <w:rPr>
          <w:rFonts w:ascii="Times New Roman" w:eastAsia="Times New Roman" w:hAnsi="Times New Roman" w:cs="Times New Roman"/>
          <w:color w:val="000000"/>
        </w:rPr>
        <w:t>MSP</w:t>
      </w:r>
      <w:r>
        <w:rPr>
          <w:rFonts w:ascii="Times New Roman" w:eastAsia="Times New Roman" w:hAnsi="Times New Roman" w:cs="Times New Roman"/>
        </w:rPr>
        <w:t xml:space="preserve"> in Jamaica based on this review: </w:t>
      </w:r>
    </w:p>
    <w:p w14:paraId="3D2E3057" w14:textId="77777777" w:rsidR="007A093A"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Stakeholder engagement efforts:</w:t>
      </w:r>
      <w:r>
        <w:rPr>
          <w:rFonts w:ascii="Times New Roman" w:eastAsia="Times New Roman" w:hAnsi="Times New Roman" w:cs="Times New Roman"/>
          <w:color w:val="000000"/>
        </w:rPr>
        <w:t xml:space="preserve"> Future efforts should consider investing additional resources (including hiring a professional facilitator) to assist with planning mechanisms for engagement and the use of facilitation tools. Furthermore, while our data collection and mapping efforts at landing sites </w:t>
      </w:r>
      <w:r>
        <w:rPr>
          <w:rFonts w:ascii="Times New Roman" w:eastAsia="Times New Roman" w:hAnsi="Times New Roman" w:cs="Times New Roman"/>
        </w:rPr>
        <w:t>were</w:t>
      </w:r>
      <w:r>
        <w:t xml:space="preserve">     </w:t>
      </w:r>
      <w:r>
        <w:rPr>
          <w:rFonts w:ascii="Times New Roman" w:eastAsia="Times New Roman" w:hAnsi="Times New Roman" w:cs="Times New Roman"/>
          <w:color w:val="000000"/>
        </w:rPr>
        <w:t xml:space="preserve"> instrumental in building understanding and working relationships with the Pedro Bank fishers, the remote location of the Cays made the participation of Pedro Cay fishers at the PBWG workshops challenging. Additional thought on how best to engage these critical stakeholders should be a priority for future initiatives.</w:t>
      </w:r>
    </w:p>
    <w:p w14:paraId="300145A9" w14:textId="77777777" w:rsidR="007A093A"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Advancing the implementation of previous MSP initiatives:</w:t>
      </w:r>
      <w:r>
        <w:rPr>
          <w:rFonts w:ascii="Times New Roman" w:eastAsia="Times New Roman" w:hAnsi="Times New Roman" w:cs="Times New Roman"/>
          <w:color w:val="000000"/>
        </w:rPr>
        <w:t xml:space="preserve"> Likewise, clearly establishing the role for implementation of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MSP should be clarified from the outset. In the Pedro Bank case, the PBWG’s role was advisory and implementation of such a broad scope of work is not ultimately seen as a responsibility of NEPA. Now, additional resources are required to share the MSP and its benefits to upper-level decision-makers and obtain buy-in. Notwithstanding this, over the course of the project numerous presentations were made at national marine committee meetings to share the MSP with relevant decision-makers and in the future adequate resources should be allocated to include these types of activities. Lastly, access to essential datasets (i.e. location of industrial fishing effort, oil priority areas) </w:t>
      </w:r>
      <w:r>
        <w:rPr>
          <w:rFonts w:ascii="Times New Roman" w:eastAsia="Times New Roman" w:hAnsi="Times New Roman" w:cs="Times New Roman"/>
        </w:rPr>
        <w:t>was</w:t>
      </w:r>
      <w:r>
        <w:t xml:space="preserve">     </w:t>
      </w:r>
      <w:r>
        <w:rPr>
          <w:rFonts w:ascii="Times New Roman" w:eastAsia="Times New Roman" w:hAnsi="Times New Roman" w:cs="Times New Roman"/>
          <w:color w:val="000000"/>
        </w:rPr>
        <w:t xml:space="preserve"> not granted to the MSP project despite extensive effort and the use of official channels for acquiring information (i.e. letters of request from CEO of NEPA, the Chief Fisheries Officer and an ATI request). As a result, the MSP project and decision-making had to proceed without crucial existing information.</w:t>
      </w:r>
    </w:p>
    <w:p w14:paraId="3BDA25E2" w14:textId="77777777" w:rsidR="007A093A"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333333"/>
          <w:highlight w:val="white"/>
        </w:rPr>
      </w:pPr>
      <w:r>
        <w:rPr>
          <w:rFonts w:ascii="Times New Roman" w:eastAsia="Times New Roman" w:hAnsi="Times New Roman" w:cs="Times New Roman"/>
          <w:b/>
          <w:bCs/>
          <w:color w:val="333333"/>
          <w:highlight w:val="white"/>
        </w:rPr>
        <w:t>Impact of existing marine and coastal policies:</w:t>
      </w:r>
      <w:r>
        <w:rPr>
          <w:rFonts w:ascii="Times New Roman" w:eastAsia="Times New Roman" w:hAnsi="Times New Roman" w:cs="Times New Roman"/>
          <w:color w:val="333333"/>
          <w:highlight w:val="white"/>
        </w:rPr>
        <w:t xml:space="preserve"> Jamaica's Ocean and Coastal Zone Management (OCZM) Policy has not had the intended impact due to policy implementation barriers created by inadequate resourcing, lack of legal standing, and weak institutional arrangements. The need for enhanced enabling arrangements for the implementation of the policy </w:t>
      </w:r>
      <w:proofErr w:type="gramStart"/>
      <w:r>
        <w:rPr>
          <w:rFonts w:ascii="Times New Roman" w:eastAsia="Times New Roman" w:hAnsi="Times New Roman" w:cs="Times New Roman"/>
          <w:color w:val="333333"/>
          <w:highlight w:val="white"/>
        </w:rPr>
        <w:t>are</w:t>
      </w:r>
      <w:proofErr w:type="gramEnd"/>
      <w:r>
        <w:rPr>
          <w:rFonts w:ascii="Times New Roman" w:eastAsia="Times New Roman" w:hAnsi="Times New Roman" w:cs="Times New Roman"/>
          <w:color w:val="333333"/>
          <w:highlight w:val="white"/>
        </w:rPr>
        <w:t xml:space="preserve"> evident. </w:t>
      </w:r>
    </w:p>
    <w:p w14:paraId="3AEC1F80" w14:textId="77777777" w:rsidR="007A093A"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333333"/>
          <w:highlight w:val="white"/>
        </w:rPr>
      </w:pPr>
      <w:r>
        <w:rPr>
          <w:rFonts w:ascii="Times New Roman" w:eastAsia="Times New Roman" w:hAnsi="Times New Roman" w:cs="Times New Roman"/>
          <w:b/>
          <w:bCs/>
          <w:color w:val="000000"/>
        </w:rPr>
        <w:t xml:space="preserve">Human resources: </w:t>
      </w:r>
      <w:r>
        <w:rPr>
          <w:rFonts w:ascii="Times New Roman" w:eastAsia="Times New Roman" w:hAnsi="Times New Roman" w:cs="Times New Roman"/>
          <w:color w:val="000000"/>
        </w:rPr>
        <w:t>In terms of human resources, although</w:t>
      </w:r>
      <w:r>
        <w:t xml:space="preserve">     </w:t>
      </w:r>
      <w:r>
        <w:rPr>
          <w:rFonts w:ascii="Times New Roman" w:eastAsia="Times New Roman" w:hAnsi="Times New Roman" w:cs="Times New Roman"/>
          <w:color w:val="000000"/>
        </w:rPr>
        <w:t xml:space="preserve"> qualified personnel exist at the different governmental agencies in Jamaica, they are already exercising duties related to the work of their specific agencies. For example, there is only one GIS technician at the NFA, and his effort </w:t>
      </w:r>
      <w:r>
        <w:rPr>
          <w:rFonts w:ascii="Times New Roman" w:eastAsia="Times New Roman" w:hAnsi="Times New Roman" w:cs="Times New Roman"/>
          <w:color w:val="000000"/>
        </w:rPr>
        <w:lastRenderedPageBreak/>
        <w:t xml:space="preserve">is already divided among different projects and activities. Therefore, due to the amount of effort necessary to support the different aspects of a MSP initiative, consideration should be given to hired </w:t>
      </w:r>
      <w:proofErr w:type="gramStart"/>
      <w:r>
        <w:rPr>
          <w:rFonts w:ascii="Times New Roman" w:eastAsia="Times New Roman" w:hAnsi="Times New Roman" w:cs="Times New Roman"/>
          <w:color w:val="000000"/>
        </w:rPr>
        <w:t>a</w:t>
      </w:r>
      <w:proofErr w:type="gramEnd"/>
      <w:r>
        <w:rPr>
          <w:rFonts w:ascii="Times New Roman" w:eastAsia="Times New Roman" w:hAnsi="Times New Roman" w:cs="Times New Roman"/>
          <w:color w:val="000000"/>
        </w:rPr>
        <w:t xml:space="preserve"> MSP team force that could them coordinate with personnel at the different agencies and other related stakeholders (e.g., TNC, University of West Indies, etc.).</w:t>
      </w:r>
    </w:p>
    <w:p w14:paraId="0F814785" w14:textId="77777777" w:rsidR="007A093A" w:rsidRDefault="00000000">
      <w:pPr>
        <w:numPr>
          <w:ilvl w:val="0"/>
          <w:numId w:val="3"/>
        </w:numPr>
        <w:pBdr>
          <w:top w:val="nil"/>
          <w:left w:val="nil"/>
          <w:bottom w:val="nil"/>
          <w:right w:val="nil"/>
          <w:between w:val="nil"/>
        </w:pBdr>
        <w:spacing w:line="276" w:lineRule="auto"/>
        <w:ind w:left="714" w:hanging="357"/>
        <w:jc w:val="both"/>
        <w:rPr>
          <w:rFonts w:ascii="Times New Roman" w:eastAsia="Times New Roman" w:hAnsi="Times New Roman" w:cs="Times New Roman"/>
          <w:color w:val="333333"/>
          <w:highlight w:val="white"/>
        </w:rPr>
      </w:pPr>
      <w:r>
        <w:rPr>
          <w:rFonts w:ascii="Times New Roman" w:eastAsia="Times New Roman" w:hAnsi="Times New Roman" w:cs="Times New Roman"/>
          <w:b/>
          <w:bCs/>
          <w:color w:val="000000"/>
        </w:rPr>
        <w:t xml:space="preserve">Training and capacity building: </w:t>
      </w:r>
      <w:r>
        <w:rPr>
          <w:rFonts w:ascii="Times New Roman" w:eastAsia="Times New Roman" w:hAnsi="Times New Roman" w:cs="Times New Roman"/>
          <w:color w:val="000000"/>
        </w:rPr>
        <w:t>The NEPA and the NFA have access to the ESRI software and products and technical capabilities to implement MSP analysis utilising geospatial data. Current GIS technicians might require intermediate to advanced training in specific topics and software (table 8). In contrast, other relevant actors (e.g., data collectors, sanctuary biologists, etc.) might require more basic GIS training to allow them to understand and feel comfortable in collecting and analysing data, supporting the MSP process.</w:t>
      </w:r>
    </w:p>
    <w:p w14:paraId="6DA180DF" w14:textId="77777777" w:rsidR="007A093A" w:rsidRDefault="00000000">
      <w:pPr>
        <w:numPr>
          <w:ilvl w:val="0"/>
          <w:numId w:val="3"/>
        </w:numPr>
        <w:pBdr>
          <w:top w:val="nil"/>
          <w:left w:val="nil"/>
          <w:bottom w:val="nil"/>
          <w:right w:val="nil"/>
          <w:between w:val="nil"/>
        </w:pBdr>
        <w:spacing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Logistics and equipment: </w:t>
      </w:r>
      <w:r>
        <w:rPr>
          <w:rFonts w:ascii="Times New Roman" w:eastAsia="Times New Roman" w:hAnsi="Times New Roman" w:cs="Times New Roman"/>
          <w:color w:val="000000"/>
        </w:rPr>
        <w:t>internet resources could be improved because some of the tools for data collection, managing information and interactive sharing of data and results rely on a stable internet connection.</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The government of Jamaica is facilitating access to the ESRI license, and several governmental agencies are already using several of its products. It is recommended that a national MSP process continue with the adoption of ESRI products to create, collect, manage, analyse, report, and share the results. ArcGIS Pro has several tools that can be used to analyse different aspects of the MSP process based on defined objectives (e.g., suitability analysis, hot spot analysis, data modelling, etc.).</w:t>
      </w:r>
    </w:p>
    <w:p w14:paraId="67D9D6C2" w14:textId="77777777" w:rsidR="007A093A" w:rsidRDefault="00000000">
      <w:pPr>
        <w:pStyle w:val="Heading1"/>
        <w:numPr>
          <w:ilvl w:val="0"/>
          <w:numId w:val="1"/>
        </w:numPr>
        <w:spacing w:after="240"/>
        <w:ind w:left="431" w:hanging="431"/>
        <w:rPr>
          <w:b/>
          <w:bCs/>
          <w:color w:val="000000"/>
          <w:sz w:val="24"/>
          <w:szCs w:val="24"/>
        </w:rPr>
      </w:pPr>
      <w:bookmarkStart w:id="12" w:name="_Toc230187284"/>
      <w:r>
        <w:rPr>
          <w:b/>
          <w:bCs/>
          <w:color w:val="000000"/>
          <w:sz w:val="24"/>
          <w:szCs w:val="24"/>
        </w:rPr>
        <w:t>MSP BEST PRACTICES AND SUCCESSES</w:t>
      </w:r>
      <w:bookmarkEnd w:id="12"/>
    </w:p>
    <w:p w14:paraId="2B10B21C"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 xml:space="preserve">The following are MSP best </w:t>
      </w:r>
      <w:r>
        <w:rPr>
          <w:rFonts w:ascii="Times New Roman" w:eastAsia="Times New Roman" w:hAnsi="Times New Roman" w:cs="Times New Roman"/>
          <w:color w:val="000000"/>
        </w:rPr>
        <w:t>practices</w:t>
      </w:r>
      <w:r>
        <w:rPr>
          <w:rFonts w:ascii="Times New Roman" w:eastAsia="Times New Roman" w:hAnsi="Times New Roman" w:cs="Times New Roman"/>
        </w:rPr>
        <w:t xml:space="preserve"> identified from the review of the existing MSP initiatives in Jamaica:</w:t>
      </w:r>
    </w:p>
    <w:p w14:paraId="3A8DA9A6" w14:textId="77777777" w:rsidR="007A093A" w:rsidRDefault="00000000">
      <w:pPr>
        <w:spacing w:after="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A collaborative and Participatory Geographic Information System (PGIS) approach for MSP</w:t>
      </w:r>
    </w:p>
    <w:p w14:paraId="67B21819" w14:textId="77777777" w:rsidR="007A093A" w:rsidRDefault="00000000">
      <w:pP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The collaborative PGIS was found useful for collecting, integrating and understanding multi-knowledge interdisciplinary information and planning for the future of marine resource management of the Pedro Bank (Baldwin, 2015). The PGIS approach, including the collaborative development of the Pedro Bank GIS database, engaged a wide range of stakeholders in the development of the MSP from the outset. Information exchange and access mechanisms provided strengthened capacity for broad participation in governance and informed decision-making. The continued participation of the PBWG, including maintaining communication and access to information across such a wide range of marine stakeholders, should be ensured and will be required for the successful implementation of MSP and the multi-use zoning design, particularly in a complex SIDS coastal and marine environment such as the Pedro Bank.</w:t>
      </w:r>
    </w:p>
    <w:p w14:paraId="36536C45" w14:textId="77777777" w:rsidR="007A093A" w:rsidRDefault="00000000">
      <w:pPr>
        <w:pStyle w:val="Heading1"/>
        <w:numPr>
          <w:ilvl w:val="0"/>
          <w:numId w:val="1"/>
        </w:numPr>
        <w:spacing w:after="240"/>
        <w:ind w:left="431" w:hanging="431"/>
        <w:rPr>
          <w:b/>
          <w:bCs/>
          <w:color w:val="000000"/>
          <w:sz w:val="24"/>
          <w:szCs w:val="24"/>
        </w:rPr>
      </w:pPr>
      <w:bookmarkStart w:id="13" w:name="_Toc230187285"/>
      <w:r>
        <w:rPr>
          <w:b/>
          <w:bCs/>
          <w:color w:val="000000"/>
          <w:sz w:val="24"/>
          <w:szCs w:val="24"/>
        </w:rPr>
        <w:t>RECOMMENDATIONS</w:t>
      </w:r>
      <w:bookmarkEnd w:id="13"/>
    </w:p>
    <w:p w14:paraId="396D7034" w14:textId="77777777" w:rsidR="007A093A" w:rsidRDefault="00000000">
      <w:pPr>
        <w:spacing w:line="276" w:lineRule="auto"/>
        <w:jc w:val="both"/>
        <w:rPr>
          <w:rFonts w:ascii="Times New Roman" w:eastAsia="Times New Roman" w:hAnsi="Times New Roman" w:cs="Times New Roman"/>
          <w:color w:val="131314"/>
          <w:highlight w:val="white"/>
        </w:rPr>
      </w:pPr>
      <w:r>
        <w:rPr>
          <w:rFonts w:ascii="Times New Roman" w:eastAsia="Times New Roman" w:hAnsi="Times New Roman" w:cs="Times New Roman"/>
          <w:color w:val="131314"/>
          <w:highlight w:val="white"/>
        </w:rPr>
        <w:t xml:space="preserve">The recommendations below primarily reflect recommendations set out in the evidence sources reviewed when developing this profile and include some suggestions by HMC based on challenges and limitations identified in the evidence </w:t>
      </w:r>
      <w:r>
        <w:rPr>
          <w:rFonts w:ascii="Times New Roman" w:eastAsia="Times New Roman" w:hAnsi="Times New Roman" w:cs="Times New Roman"/>
          <w:color w:val="000000"/>
        </w:rPr>
        <w:t>sources</w:t>
      </w:r>
      <w:r>
        <w:rPr>
          <w:rFonts w:ascii="Times New Roman" w:eastAsia="Times New Roman" w:hAnsi="Times New Roman" w:cs="Times New Roman"/>
          <w:color w:val="131314"/>
          <w:highlight w:val="white"/>
        </w:rPr>
        <w:t>. They indicate the potential direction of travel for Jamaica MSP, and they will be tested and developed further through consultation with Jamaican stakeholders to understand the feasibility and practicality of actioning them, which will inform the Guide and Protocol.</w:t>
      </w:r>
    </w:p>
    <w:p w14:paraId="36764C43" w14:textId="77777777" w:rsidR="007A093A" w:rsidRDefault="00000000">
      <w:pPr>
        <w:spacing w:line="276" w:lineRule="auto"/>
        <w:jc w:val="both"/>
        <w:rPr>
          <w:rFonts w:ascii="Times New Roman" w:eastAsia="Times New Roman" w:hAnsi="Times New Roman" w:cs="Times New Roman"/>
        </w:rPr>
      </w:pPr>
      <w:r>
        <w:rPr>
          <w:rFonts w:ascii="Times New Roman" w:eastAsia="Times New Roman" w:hAnsi="Times New Roman" w:cs="Times New Roman"/>
        </w:rPr>
        <w:t>The following are recommendations to advance MSP in Jamaica:</w:t>
      </w:r>
    </w:p>
    <w:p w14:paraId="73588A37"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Work with NCOCZM to reaffirm high-level government mandate for the Pedro Bank MSP and at the national level. These efforts should ensure the official adoption of the MSP and the marine multi-use zoning design (Baldwin, 2015).</w:t>
      </w:r>
    </w:p>
    <w:p w14:paraId="26BB650E"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Establish a framework for national marine governance identifying clear roles for cooperation.</w:t>
      </w:r>
    </w:p>
    <w:p w14:paraId="7E209456"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Establish a new legislation to support MSP and marine zoning (including the Fisheries Policy and Act).</w:t>
      </w:r>
    </w:p>
    <w:p w14:paraId="42E7A7AB"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The Jamaica data gaps and needs assessment to inform MSP Report noted that stakeholder engagement is crucial for the MSP process. Therefore, it is important that the team leading the initiative has access to a communications specialist to support the development of outreach and communication materials tailored to the different stakeholders (e.g., fisherfolk, policy makers, researchers, and public). Furthermore, training in facilitation and communication skills can enhance the team capabilities.</w:t>
      </w:r>
    </w:p>
    <w:p w14:paraId="4C1831D9"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Develop capacity building programs to consider multiple training strategies to account for personnel turnover. For example, in-person training could be complemented with online, at the learners’ pace, training modules.</w:t>
      </w:r>
    </w:p>
    <w:p w14:paraId="573D2CCB"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333333"/>
          <w:highlight w:val="white"/>
        </w:rPr>
        <w:t xml:space="preserve">The UN Department of Economic and Social Affairs review shows that there was broad agreement that the national OCZM policy must be revisited and updated. A considerable amount of time has elapsed since the policy was promulgated in 2022. In this time, new policies, development perspectives, and paradigms such as MSP have come to the fore. The updating and revision of the OCZM Policy must take these </w:t>
      </w:r>
      <w:r>
        <w:rPr>
          <w:rFonts w:ascii="Times New Roman" w:eastAsia="Times New Roman" w:hAnsi="Times New Roman" w:cs="Times New Roman"/>
          <w:color w:val="000000"/>
        </w:rPr>
        <w:t>developments</w:t>
      </w:r>
      <w:r>
        <w:rPr>
          <w:rFonts w:ascii="Times New Roman" w:eastAsia="Times New Roman" w:hAnsi="Times New Roman" w:cs="Times New Roman"/>
          <w:color w:val="333333"/>
          <w:highlight w:val="white"/>
        </w:rPr>
        <w:t xml:space="preserve"> into account while ensuring coherence among policies and sectoral interests that impact the coastal zone. Ensuring that policy coherence is achieved in the revision of the OCZM policy required the introduction and employment of systems thinking (UNDESA, 2024).</w:t>
      </w:r>
    </w:p>
    <w:p w14:paraId="60EC5537" w14:textId="77777777" w:rsidR="007A093A" w:rsidRDefault="00000000">
      <w:pPr>
        <w:numPr>
          <w:ilvl w:val="0"/>
          <w:numId w:val="5"/>
        </w:numPr>
        <w:pBdr>
          <w:top w:val="nil"/>
          <w:left w:val="nil"/>
          <w:bottom w:val="nil"/>
          <w:right w:val="nil"/>
          <w:between w:val="nil"/>
        </w:pBdr>
        <w:spacing w:after="80" w:line="276" w:lineRule="auto"/>
        <w:ind w:left="714" w:hanging="357"/>
        <w:jc w:val="both"/>
        <w:rPr>
          <w:rFonts w:ascii="Times New Roman" w:eastAsia="Times New Roman" w:hAnsi="Times New Roman" w:cs="Times New Roman"/>
          <w:color w:val="000000"/>
        </w:rPr>
      </w:pPr>
      <w:r>
        <w:rPr>
          <w:rFonts w:ascii="Times New Roman" w:eastAsia="Times New Roman" w:hAnsi="Times New Roman" w:cs="Times New Roman"/>
          <w:color w:val="000000"/>
        </w:rPr>
        <w:t>Transboundary MPAs: the successful implementation of the MPAs will also depend on public acceptance and stakeholder engagement. Sometimes, this is difficult to achieve, since what is recommended by the scientific community for the implementation, for instance, the scale and the size of the area to protect, is not accepted by the users given the potential negative socioeconomic impacts. An important investment between the countries would be essential to develop strong strategies and activities to guarantee acceptance and build stakeholder support that would contribute not just to conservation goals but also to the successful sustainable management of the shared resources.</w:t>
      </w:r>
    </w:p>
    <w:p w14:paraId="658E0747" w14:textId="77777777" w:rsidR="007A093A" w:rsidRDefault="007A093A">
      <w:pPr>
        <w:spacing w:after="0" w:line="240" w:lineRule="auto"/>
        <w:jc w:val="both"/>
        <w:rPr>
          <w:rFonts w:ascii="Times New Roman" w:eastAsia="Times New Roman" w:hAnsi="Times New Roman" w:cs="Times New Roman"/>
          <w:color w:val="000000"/>
          <w:sz w:val="24"/>
          <w:szCs w:val="24"/>
        </w:rPr>
      </w:pPr>
    </w:p>
    <w:p w14:paraId="14BA2901" w14:textId="77777777" w:rsidR="007A093A" w:rsidRDefault="00000000">
      <w:pPr>
        <w:rPr>
          <w:rFonts w:ascii="Times New Roman" w:eastAsia="Times New Roman" w:hAnsi="Times New Roman" w:cs="Times New Roman"/>
          <w:b/>
          <w:bCs/>
          <w:sz w:val="24"/>
          <w:szCs w:val="24"/>
        </w:rPr>
      </w:pPr>
      <w:r>
        <w:br w:type="page"/>
      </w:r>
    </w:p>
    <w:p w14:paraId="44C3C8A8" w14:textId="77777777" w:rsidR="007A093A" w:rsidRDefault="00000000">
      <w:pPr>
        <w:pStyle w:val="Heading1"/>
        <w:spacing w:after="240"/>
        <w:ind w:left="431" w:hanging="431"/>
        <w:rPr>
          <w:b/>
          <w:bCs/>
          <w:color w:val="000000"/>
          <w:sz w:val="24"/>
          <w:szCs w:val="24"/>
        </w:rPr>
      </w:pPr>
      <w:bookmarkStart w:id="14" w:name="_Toc230187286"/>
      <w:r>
        <w:rPr>
          <w:b/>
          <w:bCs/>
          <w:color w:val="000000"/>
          <w:sz w:val="24"/>
          <w:szCs w:val="24"/>
        </w:rPr>
        <w:lastRenderedPageBreak/>
        <w:t>REFERENCES</w:t>
      </w:r>
      <w:bookmarkEnd w:id="14"/>
    </w:p>
    <w:p w14:paraId="25F59ED6" w14:textId="77777777" w:rsidR="007A093A" w:rsidRDefault="0000000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Baldwin, K (2015). Marine spatial planning for the Pedro Bank, Jamaica. Final Report. For the Nature Conservancy, Kingston, Jamaica. 39 pp.</w:t>
      </w:r>
    </w:p>
    <w:p w14:paraId="5ADB4E5C" w14:textId="77777777" w:rsidR="007A093A" w:rsidRDefault="007A093A">
      <w:pPr>
        <w:spacing w:after="0" w:line="240" w:lineRule="auto"/>
        <w:jc w:val="both"/>
        <w:rPr>
          <w:rFonts w:ascii="Times New Roman" w:eastAsia="Times New Roman" w:hAnsi="Times New Roman" w:cs="Times New Roman"/>
          <w:color w:val="000000"/>
        </w:rPr>
      </w:pPr>
    </w:p>
    <w:p w14:paraId="2A59F85D" w14:textId="77777777" w:rsidR="007A093A" w:rsidRDefault="0000000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 Lopera, P.A. Zapata-Ramírez, Y. Cardona. (2023). Overview and potential implementation of a marine protected area network between Colombia, Nicaragua, and Jamaica </w:t>
      </w:r>
      <w:r>
        <w:rPr>
          <w:rFonts w:ascii="Times New Roman" w:eastAsia="Times New Roman" w:hAnsi="Times New Roman" w:cs="Times New Roman"/>
          <w:i/>
          <w:iCs/>
          <w:color w:val="000000"/>
        </w:rPr>
        <w:t>Mar. Pol.,</w:t>
      </w:r>
      <w:r>
        <w:rPr>
          <w:rFonts w:ascii="Times New Roman" w:eastAsia="Times New Roman" w:hAnsi="Times New Roman" w:cs="Times New Roman"/>
          <w:color w:val="000000"/>
        </w:rPr>
        <w:t xml:space="preserve"> 150 Article 105411, 10.1016/j.marpol.2022.105411</w:t>
      </w:r>
    </w:p>
    <w:p w14:paraId="5899D290" w14:textId="77777777" w:rsidR="007A093A" w:rsidRDefault="007A093A">
      <w:pPr>
        <w:spacing w:after="0" w:line="240" w:lineRule="auto"/>
        <w:jc w:val="both"/>
        <w:rPr>
          <w:rFonts w:ascii="Times New Roman" w:eastAsia="Times New Roman" w:hAnsi="Times New Roman" w:cs="Times New Roman"/>
          <w:color w:val="000000"/>
        </w:rPr>
      </w:pPr>
    </w:p>
    <w:p w14:paraId="202FC2CB" w14:textId="77777777" w:rsidR="007A093A" w:rsidRDefault="0000000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Osorio-</w:t>
      </w:r>
      <w:proofErr w:type="spellStart"/>
      <w:r>
        <w:rPr>
          <w:rFonts w:ascii="Times New Roman" w:eastAsia="Times New Roman" w:hAnsi="Times New Roman" w:cs="Times New Roman"/>
          <w:color w:val="000000"/>
        </w:rPr>
        <w:t>Cano</w:t>
      </w:r>
      <w:proofErr w:type="spellEnd"/>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J.,D.</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Alcérreca</w:t>
      </w:r>
      <w:proofErr w:type="spellEnd"/>
      <w:r>
        <w:rPr>
          <w:rFonts w:ascii="Times New Roman" w:eastAsia="Times New Roman" w:hAnsi="Times New Roman" w:cs="Times New Roman"/>
          <w:color w:val="000000"/>
        </w:rPr>
        <w:t xml:space="preserve">-Huerta, J., C., Navarro, B., A., Álvarez-Silva, O., (2024). The </w:t>
      </w:r>
      <w:proofErr w:type="spellStart"/>
      <w:r>
        <w:rPr>
          <w:rFonts w:ascii="Times New Roman" w:eastAsia="Times New Roman" w:hAnsi="Times New Roman" w:cs="Times New Roman"/>
          <w:color w:val="000000"/>
        </w:rPr>
        <w:t>Seaflower</w:t>
      </w:r>
      <w:proofErr w:type="spellEnd"/>
      <w:r>
        <w:rPr>
          <w:rFonts w:ascii="Times New Roman" w:eastAsia="Times New Roman" w:hAnsi="Times New Roman" w:cs="Times New Roman"/>
          <w:color w:val="000000"/>
        </w:rPr>
        <w:t xml:space="preserve"> Biosphere Reserve: Research advances on ocean and coastal processes and related hazards for the regional </w:t>
      </w:r>
      <w:proofErr w:type="spellStart"/>
      <w:proofErr w:type="gramStart"/>
      <w:r>
        <w:rPr>
          <w:rFonts w:ascii="Times New Roman" w:eastAsia="Times New Roman" w:hAnsi="Times New Roman" w:cs="Times New Roman"/>
          <w:color w:val="000000"/>
        </w:rPr>
        <w:t>management,</w:t>
      </w:r>
      <w:r>
        <w:rPr>
          <w:rFonts w:ascii="Times New Roman" w:eastAsia="Times New Roman" w:hAnsi="Times New Roman" w:cs="Times New Roman"/>
          <w:i/>
          <w:iCs/>
          <w:color w:val="000000"/>
        </w:rPr>
        <w:t>Ocean</w:t>
      </w:r>
      <w:proofErr w:type="spellEnd"/>
      <w:proofErr w:type="gramEnd"/>
      <w:r>
        <w:rPr>
          <w:rFonts w:ascii="Times New Roman" w:eastAsia="Times New Roman" w:hAnsi="Times New Roman" w:cs="Times New Roman"/>
          <w:i/>
          <w:iCs/>
          <w:color w:val="000000"/>
        </w:rPr>
        <w:t xml:space="preserve"> &amp; Coastal Management,</w:t>
      </w:r>
      <w:r>
        <w:rPr>
          <w:rFonts w:ascii="Times New Roman" w:eastAsia="Times New Roman" w:hAnsi="Times New Roman" w:cs="Times New Roman"/>
          <w:color w:val="000000"/>
        </w:rPr>
        <w:t>258,107414, doi.org/10.1016/j.ocecoaman.2024.107414.</w:t>
      </w:r>
    </w:p>
    <w:p w14:paraId="6350AF79" w14:textId="77777777" w:rsidR="007A093A" w:rsidRDefault="007A093A">
      <w:pPr>
        <w:spacing w:after="0" w:line="240" w:lineRule="auto"/>
        <w:jc w:val="both"/>
        <w:rPr>
          <w:rFonts w:ascii="Times New Roman" w:eastAsia="Times New Roman" w:hAnsi="Times New Roman" w:cs="Times New Roman"/>
          <w:color w:val="000000"/>
        </w:rPr>
      </w:pPr>
    </w:p>
    <w:p w14:paraId="2968AAF9" w14:textId="77777777" w:rsidR="007A093A" w:rsidRDefault="0000000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UN Department of Economic and Social Affairs. (2024) Development of a Roadmap and Institutional Arrangements for the Review and Updating of Jamaica’s Integrated Coastal Zone Management Policy and its Enabling Framework. Available at: </w:t>
      </w:r>
      <w:hyperlink r:id="rId24">
        <w:r w:rsidR="007A093A">
          <w:rPr>
            <w:rFonts w:ascii="Times New Roman" w:eastAsia="Times New Roman" w:hAnsi="Times New Roman" w:cs="Times New Roman"/>
            <w:color w:val="467886"/>
            <w:u w:val="single"/>
          </w:rPr>
          <w:t>https://publicadministration.desa.un.org/development-roadmap-and-institutional-arrangements-review-and-updating-jamaicas-integrated-coastal</w:t>
        </w:r>
      </w:hyperlink>
      <w:r>
        <w:rPr>
          <w:rFonts w:ascii="Times New Roman" w:eastAsia="Times New Roman" w:hAnsi="Times New Roman" w:cs="Times New Roman"/>
          <w:color w:val="000000"/>
        </w:rPr>
        <w:t xml:space="preserve"> </w:t>
      </w:r>
    </w:p>
    <w:p w14:paraId="2F73C928" w14:textId="7E7942DA" w:rsidR="007260E6" w:rsidRDefault="007260E6">
      <w:pPr>
        <w:rPr>
          <w:color w:val="000000"/>
          <w:sz w:val="24"/>
          <w:szCs w:val="24"/>
        </w:rPr>
      </w:pPr>
      <w:r>
        <w:rPr>
          <w:color w:val="000000"/>
          <w:sz w:val="24"/>
          <w:szCs w:val="24"/>
        </w:rPr>
        <w:br w:type="page"/>
      </w:r>
    </w:p>
    <w:p w14:paraId="1C35B1D0" w14:textId="0D068F39" w:rsidR="007A093A" w:rsidRDefault="007260E6">
      <w:pPr>
        <w:spacing w:after="0" w:line="240" w:lineRule="auto"/>
        <w:jc w:val="both"/>
        <w:rPr>
          <w:color w:val="000000"/>
          <w:sz w:val="24"/>
          <w:szCs w:val="24"/>
        </w:rPr>
      </w:pPr>
      <w:r w:rsidRPr="00A96CC9">
        <w:rPr>
          <w:rFonts w:ascii="Times New Roman" w:eastAsia="Arial Unicode MS" w:hAnsi="Times New Roman"/>
          <w:noProof/>
          <w:sz w:val="24"/>
          <w:szCs w:val="24"/>
          <w:bdr w:val="nil"/>
        </w:rPr>
        <w:lastRenderedPageBreak/>
        <w:drawing>
          <wp:anchor distT="0" distB="0" distL="114300" distR="114300" simplePos="0" relativeHeight="251663360" behindDoc="0" locked="0" layoutInCell="1" allowOverlap="1" wp14:anchorId="437A8695" wp14:editId="166927C8">
            <wp:simplePos x="0" y="0"/>
            <wp:positionH relativeFrom="page">
              <wp:posOffset>63610</wp:posOffset>
            </wp:positionH>
            <wp:positionV relativeFrom="page">
              <wp:posOffset>206734</wp:posOffset>
            </wp:positionV>
            <wp:extent cx="7607300" cy="9636981"/>
            <wp:effectExtent l="0" t="0" r="0" b="2540"/>
            <wp:wrapSquare wrapText="bothSides"/>
            <wp:docPr id="1255998291" name="Picture 5"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98291" name="Picture 5" descr="A close-up of a document&#10;&#10;AI-generated content may be incorrect."/>
                    <pic:cNvPicPr/>
                  </pic:nvPicPr>
                  <pic:blipFill>
                    <a:blip r:embed="rId25">
                      <a:extLst>
                        <a:ext uri="{28A0092B-C50C-407E-A947-70E740481C1C}">
                          <a14:useLocalDpi xmlns:a14="http://schemas.microsoft.com/office/drawing/2010/main" val="0"/>
                        </a:ext>
                      </a:extLst>
                    </a:blip>
                    <a:stretch>
                      <a:fillRect/>
                    </a:stretch>
                  </pic:blipFill>
                  <pic:spPr>
                    <a:xfrm>
                      <a:off x="0" y="0"/>
                      <a:ext cx="7607474" cy="9637202"/>
                    </a:xfrm>
                    <a:prstGeom prst="rect">
                      <a:avLst/>
                    </a:prstGeom>
                  </pic:spPr>
                </pic:pic>
              </a:graphicData>
            </a:graphic>
            <wp14:sizeRelH relativeFrom="page">
              <wp14:pctWidth>0</wp14:pctWidth>
            </wp14:sizeRelH>
            <wp14:sizeRelV relativeFrom="page">
              <wp14:pctHeight>0</wp14:pctHeight>
            </wp14:sizeRelV>
          </wp:anchor>
        </w:drawing>
      </w:r>
    </w:p>
    <w:sectPr w:rsidR="007A093A">
      <w:footerReference w:type="default" r:id="rId26"/>
      <w:pgSz w:w="12240" w:h="15840"/>
      <w:pgMar w:top="1440" w:right="1440" w:bottom="1440" w:left="1440" w:header="14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D372" w14:textId="77777777" w:rsidR="00F36F2D" w:rsidRDefault="00F36F2D">
      <w:pPr>
        <w:spacing w:after="0" w:line="240" w:lineRule="auto"/>
      </w:pPr>
      <w:r>
        <w:separator/>
      </w:r>
    </w:p>
  </w:endnote>
  <w:endnote w:type="continuationSeparator" w:id="0">
    <w:p w14:paraId="2560C091" w14:textId="77777777" w:rsidR="00F36F2D" w:rsidRDefault="00F3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7B3617D-2793-4C6B-BDEB-0D5C7641191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2" w:fontKey="{07AE31B3-C24B-4657-9EC4-0CEBAEAA5D9F}"/>
    <w:embedBold r:id="rId3" w:fontKey="{46F2CD2A-865A-4BC8-B668-7B08D9A4D46A}"/>
    <w:embedItalic r:id="rId4" w:fontKey="{4ABC9AFE-4735-4941-B6CA-1A8BE4D07553}"/>
    <w:embedBoldItalic r:id="rId5" w:fontKey="{E0EB9114-77B3-4357-9B12-16746E9381D8}"/>
  </w:font>
  <w:font w:name="Play">
    <w:altName w:val="Calibri"/>
    <w:charset w:val="00"/>
    <w:family w:val="auto"/>
    <w:pitch w:val="default"/>
    <w:embedRegular r:id="rId6" w:fontKey="{C07B7107-23BB-43D0-9102-ECB2B12CCCB0}"/>
  </w:font>
  <w:font w:name="Aptos Display">
    <w:charset w:val="00"/>
    <w:family w:val="swiss"/>
    <w:pitch w:val="variable"/>
    <w:sig w:usb0="20000287" w:usb1="00000003" w:usb2="00000000" w:usb3="00000000" w:csb0="0000019F" w:csb1="00000000"/>
    <w:embedRegular r:id="rId7" w:fontKey="{BCE0D6B4-BABD-4748-8DFD-D66D3EEF704D}"/>
  </w:font>
  <w:font w:name="Calibri">
    <w:panose1 w:val="020F0502020204030204"/>
    <w:charset w:val="00"/>
    <w:family w:val="swiss"/>
    <w:pitch w:val="variable"/>
    <w:sig w:usb0="E4002EFF" w:usb1="C200247B" w:usb2="00000009" w:usb3="00000000" w:csb0="000001FF" w:csb1="00000000"/>
    <w:embedRegular r:id="rId8" w:fontKey="{928F4826-F57A-4B3D-8496-C1E86CBF5C8A}"/>
    <w:embedBold r:id="rId9" w:fontKey="{E8D05A17-3B5B-4F5B-8579-C10F903CEDA6}"/>
  </w:font>
  <w:font w:name="Helvetica">
    <w:panose1 w:val="020B0604020202020204"/>
    <w:charset w:val="00"/>
    <w:family w:val="swiss"/>
    <w:pitch w:val="variable"/>
    <w:sig w:usb0="E0002EFF" w:usb1="C000785B" w:usb2="00000009" w:usb3="00000000" w:csb0="000001FF" w:csb1="00000000"/>
    <w:embedRegular r:id="rId10" w:fontKey="{EB9CF065-8D3C-45D4-A680-21291B64425B}"/>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9439" w14:textId="2A7CD19F" w:rsidR="007A093A"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3317D">
      <w:rPr>
        <w:noProof/>
        <w:color w:val="000000"/>
      </w:rPr>
      <w:t>2</w:t>
    </w:r>
    <w:r>
      <w:rPr>
        <w:color w:val="000000"/>
      </w:rPr>
      <w:fldChar w:fldCharType="end"/>
    </w:r>
  </w:p>
  <w:p w14:paraId="71AC31FC" w14:textId="77777777" w:rsidR="007A093A" w:rsidRDefault="007A093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954983"/>
      <w:docPartObj>
        <w:docPartGallery w:val="Page Numbers (Bottom of Page)"/>
        <w:docPartUnique/>
      </w:docPartObj>
    </w:sdtPr>
    <w:sdtContent>
      <w:p w14:paraId="28915502" w14:textId="1119A8C4" w:rsidR="00E91AAB" w:rsidRDefault="00E91AAB">
        <w:pPr>
          <w:pStyle w:val="Footer"/>
          <w:jc w:val="center"/>
        </w:pPr>
        <w:r>
          <w:fldChar w:fldCharType="begin"/>
        </w:r>
        <w:r>
          <w:instrText>PAGE   \* MERGEFORMAT</w:instrText>
        </w:r>
        <w:r>
          <w:fldChar w:fldCharType="separate"/>
        </w:r>
        <w:r>
          <w:rPr>
            <w:lang w:val="en-GB"/>
          </w:rPr>
          <w:t>2</w:t>
        </w:r>
        <w:r>
          <w:fldChar w:fldCharType="end"/>
        </w:r>
      </w:p>
    </w:sdtContent>
  </w:sdt>
  <w:p w14:paraId="0C671162" w14:textId="77777777" w:rsidR="00E91AAB" w:rsidRDefault="00E91A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13CD" w14:textId="77777777" w:rsidR="0043317D" w:rsidRDefault="004331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DD04" w14:textId="637F6D0D" w:rsidR="007A093A"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6298A">
      <w:rPr>
        <w:noProof/>
        <w:color w:val="000000"/>
      </w:rPr>
      <w:t>1</w:t>
    </w:r>
    <w:r>
      <w:rPr>
        <w:color w:val="000000"/>
      </w:rPr>
      <w:fldChar w:fldCharType="end"/>
    </w:r>
  </w:p>
  <w:p w14:paraId="292ADFF6" w14:textId="77777777" w:rsidR="007A093A" w:rsidRDefault="007A093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CFE3" w14:textId="77777777" w:rsidR="00F36F2D" w:rsidRDefault="00F36F2D">
      <w:pPr>
        <w:spacing w:after="0" w:line="240" w:lineRule="auto"/>
      </w:pPr>
      <w:r>
        <w:separator/>
      </w:r>
    </w:p>
  </w:footnote>
  <w:footnote w:type="continuationSeparator" w:id="0">
    <w:p w14:paraId="016C32A2" w14:textId="77777777" w:rsidR="00F36F2D" w:rsidRDefault="00F36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9B48" w14:textId="77777777" w:rsidR="0043317D" w:rsidRDefault="004331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CBDA" w14:textId="77777777" w:rsidR="007A093A" w:rsidRDefault="007A093A">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3189" w14:textId="77777777" w:rsidR="0043317D" w:rsidRDefault="00433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20F8F"/>
    <w:multiLevelType w:val="multilevel"/>
    <w:tmpl w:val="434AD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DF3A8E"/>
    <w:multiLevelType w:val="multilevel"/>
    <w:tmpl w:val="12324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101A57"/>
    <w:multiLevelType w:val="multilevel"/>
    <w:tmpl w:val="7D4C7194"/>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C246A49"/>
    <w:multiLevelType w:val="multilevel"/>
    <w:tmpl w:val="937A4CC0"/>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DB36FE"/>
    <w:multiLevelType w:val="multilevel"/>
    <w:tmpl w:val="D68439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6C70A44"/>
    <w:multiLevelType w:val="multilevel"/>
    <w:tmpl w:val="25A46410"/>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2A31CF"/>
    <w:multiLevelType w:val="multilevel"/>
    <w:tmpl w:val="3ABA7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F0A42E5"/>
    <w:multiLevelType w:val="multilevel"/>
    <w:tmpl w:val="36BE6B20"/>
    <w:lvl w:ilvl="0">
      <w:start w:val="1"/>
      <w:numFmt w:val="decimal"/>
      <w:lvlText w:val="%1"/>
      <w:lvlJc w:val="left"/>
      <w:pPr>
        <w:ind w:left="432" w:hanging="432"/>
      </w:pPr>
      <w:rPr>
        <w:b/>
        <w:bCs/>
        <w:color w:val="000000"/>
        <w:sz w:val="24"/>
        <w:szCs w:val="24"/>
      </w:rPr>
    </w:lvl>
    <w:lvl w:ilvl="1">
      <w:start w:val="1"/>
      <w:numFmt w:val="decimal"/>
      <w:lvlText w:val="%1.%2"/>
      <w:lvlJc w:val="left"/>
      <w:pPr>
        <w:ind w:left="576" w:hanging="576"/>
      </w:pPr>
    </w:lvl>
    <w:lvl w:ilvl="2">
      <w:start w:val="1"/>
      <w:numFmt w:val="decimal"/>
      <w:lvlText w:val="%1.%2.%3"/>
      <w:lvlJc w:val="left"/>
      <w:pPr>
        <w:ind w:left="1004"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796B4D8E"/>
    <w:multiLevelType w:val="multilevel"/>
    <w:tmpl w:val="1C5C673A"/>
    <w:lvl w:ilvl="0">
      <w:start w:val="1"/>
      <w:numFmt w:val="bullet"/>
      <w:lvlText w:val="●"/>
      <w:lvlJc w:val="left"/>
      <w:pPr>
        <w:ind w:left="720" w:hanging="360"/>
      </w:pPr>
      <w:rPr>
        <w:rFonts w:ascii="Noto Sans Symbols" w:eastAsia="Noto Sans Symbols" w:hAnsi="Noto Sans Symbols" w:cs="Noto Sans Symbols"/>
      </w:rPr>
    </w:lvl>
    <w:lvl w:ilvl="1">
      <w:start w:val="4"/>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20954765">
    <w:abstractNumId w:val="7"/>
  </w:num>
  <w:num w:numId="2" w16cid:durableId="149291643">
    <w:abstractNumId w:val="2"/>
  </w:num>
  <w:num w:numId="3" w16cid:durableId="494079362">
    <w:abstractNumId w:val="4"/>
  </w:num>
  <w:num w:numId="4" w16cid:durableId="1913854748">
    <w:abstractNumId w:val="6"/>
  </w:num>
  <w:num w:numId="5" w16cid:durableId="528563539">
    <w:abstractNumId w:val="0"/>
  </w:num>
  <w:num w:numId="6" w16cid:durableId="970862045">
    <w:abstractNumId w:val="5"/>
  </w:num>
  <w:num w:numId="7" w16cid:durableId="2100104712">
    <w:abstractNumId w:val="8"/>
  </w:num>
  <w:num w:numId="8" w16cid:durableId="8990041">
    <w:abstractNumId w:val="3"/>
  </w:num>
  <w:num w:numId="9" w16cid:durableId="1539319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93A"/>
    <w:rsid w:val="0043317D"/>
    <w:rsid w:val="004E69F7"/>
    <w:rsid w:val="005863E8"/>
    <w:rsid w:val="00621307"/>
    <w:rsid w:val="006443BB"/>
    <w:rsid w:val="007260E6"/>
    <w:rsid w:val="00756A2A"/>
    <w:rsid w:val="0076298A"/>
    <w:rsid w:val="007A093A"/>
    <w:rsid w:val="0080469C"/>
    <w:rsid w:val="00850654"/>
    <w:rsid w:val="008653F4"/>
    <w:rsid w:val="00A16CF4"/>
    <w:rsid w:val="00AF1901"/>
    <w:rsid w:val="00E61B88"/>
    <w:rsid w:val="00E91AAB"/>
    <w:rsid w:val="00F02E15"/>
    <w:rsid w:val="00F3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B883"/>
  <w15:docId w15:val="{4EB59CE4-D62F-4CD2-9DBA-97BF60D4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B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ind w:left="432" w:hanging="432"/>
      <w:outlineLvl w:val="0"/>
    </w:pPr>
    <w:rPr>
      <w:rFonts w:ascii="Times New Roman" w:eastAsia="Times New Roman" w:hAnsi="Times New Roman" w:cs="Times New Roman"/>
      <w:color w:val="0F4761"/>
      <w:sz w:val="28"/>
      <w:szCs w:val="28"/>
    </w:rPr>
  </w:style>
  <w:style w:type="paragraph" w:styleId="Heading2">
    <w:name w:val="heading 2"/>
    <w:basedOn w:val="Normal"/>
    <w:next w:val="Normal"/>
    <w:link w:val="Heading2Char"/>
    <w:uiPriority w:val="9"/>
    <w:unhideWhenUsed/>
    <w:qFormat/>
    <w:pPr>
      <w:keepNext/>
      <w:keepLines/>
      <w:spacing w:before="160" w:after="80"/>
      <w:ind w:left="576" w:hanging="576"/>
      <w:outlineLvl w:val="1"/>
    </w:pPr>
    <w:rPr>
      <w:rFonts w:ascii="Times New Roman" w:eastAsia="Times New Roman" w:hAnsi="Times New Roman" w:cs="Times New Roman"/>
      <w:color w:val="0F4761"/>
      <w:sz w:val="24"/>
      <w:szCs w:val="24"/>
    </w:rPr>
  </w:style>
  <w:style w:type="paragraph" w:styleId="Heading3">
    <w:name w:val="heading 3"/>
    <w:basedOn w:val="Normal"/>
    <w:next w:val="Normal"/>
    <w:link w:val="Heading3Char"/>
    <w:uiPriority w:val="9"/>
    <w:semiHidden/>
    <w:unhideWhenUsed/>
    <w:qFormat/>
    <w:pPr>
      <w:keepNext/>
      <w:keepLines/>
      <w:spacing w:before="160" w:after="80"/>
      <w:ind w:left="1004" w:hanging="720"/>
      <w:outlineLvl w:val="2"/>
    </w:pPr>
    <w:rPr>
      <w:rFonts w:ascii="Times New Roman" w:eastAsia="Times New Roman" w:hAnsi="Times New Roman" w:cs="Times New Roman"/>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ind w:left="864" w:hanging="864"/>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ind w:left="1008" w:hanging="1008"/>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ind w:left="1152" w:hanging="1152"/>
      <w:outlineLvl w:val="5"/>
    </w:pPr>
    <w:rPr>
      <w:i/>
      <w:iCs/>
      <w:color w:val="595959"/>
    </w:rPr>
  </w:style>
  <w:style w:type="paragraph" w:styleId="Heading7">
    <w:name w:val="heading 7"/>
    <w:basedOn w:val="Normal"/>
    <w:next w:val="Normal"/>
    <w:link w:val="Heading7Char"/>
    <w:uiPriority w:val="9"/>
    <w:semiHidden/>
    <w:unhideWhenUsed/>
    <w:qFormat/>
    <w:rsid w:val="00F70D0A"/>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D0A"/>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D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063EF6"/>
    <w:rPr>
      <w:rFonts w:ascii="Times New Roman" w:eastAsiaTheme="majorEastAsia" w:hAnsi="Times New Roman" w:cstheme="majorBidi"/>
      <w:color w:val="0F4761" w:themeColor="accent1" w:themeShade="BF"/>
      <w:sz w:val="28"/>
      <w:szCs w:val="40"/>
    </w:rPr>
  </w:style>
  <w:style w:type="character" w:customStyle="1" w:styleId="Heading2Char">
    <w:name w:val="Heading 2 Char"/>
    <w:basedOn w:val="DefaultParagraphFont"/>
    <w:link w:val="Heading2"/>
    <w:uiPriority w:val="9"/>
    <w:rsid w:val="001D4D4E"/>
    <w:rPr>
      <w:rFonts w:ascii="Times New Roman" w:eastAsiaTheme="majorEastAsia" w:hAnsi="Times New Roman" w:cstheme="majorBidi"/>
      <w:color w:val="0F4761" w:themeColor="accent1" w:themeShade="BF"/>
      <w:sz w:val="24"/>
      <w:szCs w:val="32"/>
    </w:rPr>
  </w:style>
  <w:style w:type="character" w:customStyle="1" w:styleId="Heading3Char">
    <w:name w:val="Heading 3 Char"/>
    <w:basedOn w:val="DefaultParagraphFont"/>
    <w:link w:val="Heading3"/>
    <w:uiPriority w:val="9"/>
    <w:semiHidden/>
    <w:rsid w:val="002131E1"/>
    <w:rPr>
      <w:rFonts w:ascii="Times New Roman" w:eastAsiaTheme="majorEastAsia" w:hAnsi="Times New Roman"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D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D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D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D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D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D0A"/>
    <w:rPr>
      <w:rFonts w:eastAsiaTheme="majorEastAsia" w:cstheme="majorBidi"/>
      <w:color w:val="272727" w:themeColor="text1" w:themeTint="D8"/>
    </w:rPr>
  </w:style>
  <w:style w:type="character" w:customStyle="1" w:styleId="TitleChar">
    <w:name w:val="Title Char"/>
    <w:basedOn w:val="DefaultParagraphFont"/>
    <w:link w:val="Title"/>
    <w:uiPriority w:val="10"/>
    <w:rsid w:val="00F70D0A"/>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70D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D0A"/>
    <w:pPr>
      <w:spacing w:before="160"/>
      <w:jc w:val="center"/>
    </w:pPr>
    <w:rPr>
      <w:i/>
      <w:iCs/>
      <w:color w:val="404040" w:themeColor="text1" w:themeTint="BF"/>
    </w:rPr>
  </w:style>
  <w:style w:type="character" w:customStyle="1" w:styleId="QuoteChar">
    <w:name w:val="Quote Char"/>
    <w:basedOn w:val="DefaultParagraphFont"/>
    <w:link w:val="Quote"/>
    <w:uiPriority w:val="29"/>
    <w:rsid w:val="00F70D0A"/>
    <w:rPr>
      <w:i/>
      <w:iCs/>
      <w:color w:val="404040" w:themeColor="text1" w:themeTint="BF"/>
    </w:rPr>
  </w:style>
  <w:style w:type="paragraph" w:styleId="ListParagraph">
    <w:name w:val="List Paragraph"/>
    <w:aliases w:val="Style Bullet,123 List Paragraph,References,Title Style 1,Bullets,Numbered List Paragraph,lp1,Numbered Paragraph,Main numbered paragraph,List Paragraph nowy,Liste 1,List_Paragraph,Multilevel para_II,List Paragraph1,Bullet paras,Celula,Bull"/>
    <w:basedOn w:val="Normal"/>
    <w:link w:val="ListParagraphChar"/>
    <w:uiPriority w:val="34"/>
    <w:qFormat/>
    <w:rsid w:val="00F70D0A"/>
    <w:pPr>
      <w:ind w:left="720"/>
      <w:contextualSpacing/>
    </w:pPr>
  </w:style>
  <w:style w:type="character" w:styleId="IntenseEmphasis">
    <w:name w:val="Intense Emphasis"/>
    <w:basedOn w:val="DefaultParagraphFont"/>
    <w:uiPriority w:val="21"/>
    <w:qFormat/>
    <w:rsid w:val="00F70D0A"/>
    <w:rPr>
      <w:i/>
      <w:iCs/>
      <w:color w:val="0F4761" w:themeColor="accent1" w:themeShade="BF"/>
    </w:rPr>
  </w:style>
  <w:style w:type="paragraph" w:styleId="IntenseQuote">
    <w:name w:val="Intense Quote"/>
    <w:basedOn w:val="Normal"/>
    <w:next w:val="Normal"/>
    <w:link w:val="IntenseQuoteChar"/>
    <w:uiPriority w:val="30"/>
    <w:qFormat/>
    <w:rsid w:val="00F70D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D0A"/>
    <w:rPr>
      <w:i/>
      <w:iCs/>
      <w:color w:val="0F4761" w:themeColor="accent1" w:themeShade="BF"/>
    </w:rPr>
  </w:style>
  <w:style w:type="character" w:styleId="IntenseReference">
    <w:name w:val="Intense Reference"/>
    <w:basedOn w:val="DefaultParagraphFont"/>
    <w:uiPriority w:val="32"/>
    <w:qFormat/>
    <w:rsid w:val="00F70D0A"/>
    <w:rPr>
      <w:b/>
      <w:bCs/>
      <w:smallCaps/>
      <w:color w:val="0F4761" w:themeColor="accent1" w:themeShade="BF"/>
      <w:spacing w:val="5"/>
    </w:rPr>
  </w:style>
  <w:style w:type="paragraph" w:styleId="FootnoteText">
    <w:name w:val="footnote text"/>
    <w:basedOn w:val="Normal"/>
    <w:link w:val="FootnoteTextChar"/>
    <w:uiPriority w:val="99"/>
    <w:semiHidden/>
    <w:unhideWhenUsed/>
    <w:rsid w:val="002339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983"/>
    <w:rPr>
      <w:sz w:val="20"/>
      <w:szCs w:val="20"/>
    </w:rPr>
  </w:style>
  <w:style w:type="character" w:styleId="FootnoteReference">
    <w:name w:val="footnote reference"/>
    <w:basedOn w:val="DefaultParagraphFont"/>
    <w:uiPriority w:val="99"/>
    <w:semiHidden/>
    <w:unhideWhenUsed/>
    <w:rsid w:val="00233983"/>
    <w:rPr>
      <w:vertAlign w:val="superscript"/>
    </w:rPr>
  </w:style>
  <w:style w:type="paragraph" w:styleId="Header">
    <w:name w:val="header"/>
    <w:basedOn w:val="Normal"/>
    <w:link w:val="HeaderChar"/>
    <w:uiPriority w:val="99"/>
    <w:unhideWhenUsed/>
    <w:rsid w:val="00252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698"/>
  </w:style>
  <w:style w:type="paragraph" w:styleId="Footer">
    <w:name w:val="footer"/>
    <w:basedOn w:val="Normal"/>
    <w:link w:val="FooterChar"/>
    <w:uiPriority w:val="99"/>
    <w:unhideWhenUsed/>
    <w:rsid w:val="00252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698"/>
  </w:style>
  <w:style w:type="character" w:styleId="CommentReference">
    <w:name w:val="annotation reference"/>
    <w:basedOn w:val="DefaultParagraphFont"/>
    <w:uiPriority w:val="99"/>
    <w:semiHidden/>
    <w:unhideWhenUsed/>
    <w:rsid w:val="00107BB5"/>
    <w:rPr>
      <w:sz w:val="16"/>
      <w:szCs w:val="16"/>
    </w:rPr>
  </w:style>
  <w:style w:type="paragraph" w:styleId="CommentText">
    <w:name w:val="annotation text"/>
    <w:basedOn w:val="Normal"/>
    <w:link w:val="CommentTextChar"/>
    <w:uiPriority w:val="99"/>
    <w:unhideWhenUsed/>
    <w:rsid w:val="00107BB5"/>
    <w:pPr>
      <w:spacing w:line="240" w:lineRule="auto"/>
    </w:pPr>
    <w:rPr>
      <w:sz w:val="20"/>
      <w:szCs w:val="20"/>
    </w:rPr>
  </w:style>
  <w:style w:type="character" w:customStyle="1" w:styleId="CommentTextChar">
    <w:name w:val="Comment Text Char"/>
    <w:basedOn w:val="DefaultParagraphFont"/>
    <w:link w:val="CommentText"/>
    <w:uiPriority w:val="99"/>
    <w:rsid w:val="00107BB5"/>
    <w:rPr>
      <w:sz w:val="20"/>
      <w:szCs w:val="20"/>
    </w:rPr>
  </w:style>
  <w:style w:type="paragraph" w:styleId="CommentSubject">
    <w:name w:val="annotation subject"/>
    <w:basedOn w:val="CommentText"/>
    <w:next w:val="CommentText"/>
    <w:link w:val="CommentSubjectChar"/>
    <w:uiPriority w:val="99"/>
    <w:semiHidden/>
    <w:unhideWhenUsed/>
    <w:rsid w:val="00107BB5"/>
    <w:rPr>
      <w:b/>
      <w:bCs/>
    </w:rPr>
  </w:style>
  <w:style w:type="character" w:customStyle="1" w:styleId="CommentSubjectChar">
    <w:name w:val="Comment Subject Char"/>
    <w:basedOn w:val="CommentTextChar"/>
    <w:link w:val="CommentSubject"/>
    <w:uiPriority w:val="99"/>
    <w:semiHidden/>
    <w:rsid w:val="00107BB5"/>
    <w:rPr>
      <w:b/>
      <w:bCs/>
      <w:sz w:val="20"/>
      <w:szCs w:val="20"/>
    </w:rPr>
  </w:style>
  <w:style w:type="paragraph" w:styleId="NoSpacing">
    <w:name w:val="No Spacing"/>
    <w:uiPriority w:val="1"/>
    <w:qFormat/>
    <w:rsid w:val="006D2AFC"/>
    <w:pPr>
      <w:spacing w:after="0" w:line="240" w:lineRule="auto"/>
    </w:pPr>
    <w:rPr>
      <w:rFonts w:ascii="Calibri" w:eastAsia="Times New Roman" w:hAnsi="Calibri" w:cstheme="minorBidi"/>
      <w:sz w:val="24"/>
      <w:szCs w:val="24"/>
      <w:lang w:val="en-US"/>
    </w:rPr>
  </w:style>
  <w:style w:type="character" w:customStyle="1" w:styleId="ListParagraphChar">
    <w:name w:val="List Paragraph Char"/>
    <w:aliases w:val="Style Bullet Char,123 List Paragraph Char,References Char,Title Style 1 Char,Bullets Char,Numbered List Paragraph Char,lp1 Char,Numbered Paragraph Char,Main numbered paragraph Char,List Paragraph nowy Char,Liste 1 Char,Celula Char"/>
    <w:basedOn w:val="DefaultParagraphFont"/>
    <w:link w:val="ListParagraph"/>
    <w:uiPriority w:val="34"/>
    <w:qFormat/>
    <w:rsid w:val="006D2AFC"/>
  </w:style>
  <w:style w:type="paragraph" w:customStyle="1" w:styleId="paragraph">
    <w:name w:val="paragraph"/>
    <w:basedOn w:val="Normal"/>
    <w:rsid w:val="002269E7"/>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normaltextrun">
    <w:name w:val="normaltextrun"/>
    <w:basedOn w:val="DefaultParagraphFont"/>
    <w:rsid w:val="002269E7"/>
  </w:style>
  <w:style w:type="character" w:customStyle="1" w:styleId="eop">
    <w:name w:val="eop"/>
    <w:basedOn w:val="DefaultParagraphFont"/>
    <w:rsid w:val="002269E7"/>
  </w:style>
  <w:style w:type="paragraph" w:styleId="NormalWeb">
    <w:name w:val="Normal (Web)"/>
    <w:basedOn w:val="Normal"/>
    <w:uiPriority w:val="99"/>
    <w:unhideWhenUsed/>
    <w:rsid w:val="00DA35D6"/>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apple-converted-space">
    <w:name w:val="apple-converted-space"/>
    <w:basedOn w:val="DefaultParagraphFont"/>
    <w:rsid w:val="00DA35D6"/>
  </w:style>
  <w:style w:type="paragraph" w:customStyle="1" w:styleId="p1">
    <w:name w:val="p1"/>
    <w:basedOn w:val="Normal"/>
    <w:rsid w:val="00707F35"/>
    <w:pPr>
      <w:spacing w:after="0" w:line="240" w:lineRule="auto"/>
    </w:pPr>
    <w:rPr>
      <w:rFonts w:ascii="Helvetica" w:eastAsia="Times New Roman" w:hAnsi="Helvetica" w:cs="Times New Roman"/>
      <w:color w:val="000000"/>
      <w:sz w:val="18"/>
      <w:szCs w:val="18"/>
      <w:lang w:val="en-GB"/>
    </w:rPr>
  </w:style>
  <w:style w:type="character" w:customStyle="1" w:styleId="s1">
    <w:name w:val="s1"/>
    <w:basedOn w:val="DefaultParagraphFont"/>
    <w:rsid w:val="004278F5"/>
    <w:rPr>
      <w:rFonts w:ascii="Arial" w:hAnsi="Arial" w:cs="Arial" w:hint="default"/>
      <w:sz w:val="18"/>
      <w:szCs w:val="18"/>
    </w:rPr>
  </w:style>
  <w:style w:type="table" w:styleId="TableGrid">
    <w:name w:val="Table Grid"/>
    <w:basedOn w:val="TableNormal"/>
    <w:uiPriority w:val="39"/>
    <w:rsid w:val="005F3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C6487"/>
    <w:pPr>
      <w:spacing w:before="480" w:after="0" w:line="276" w:lineRule="auto"/>
      <w:ind w:left="0" w:firstLine="0"/>
      <w:outlineLvl w:val="9"/>
    </w:pPr>
    <w:rPr>
      <w:b/>
      <w:bCs/>
      <w:lang w:val="en-US"/>
    </w:rPr>
  </w:style>
  <w:style w:type="paragraph" w:styleId="TOC1">
    <w:name w:val="toc 1"/>
    <w:basedOn w:val="Normal"/>
    <w:next w:val="Normal"/>
    <w:autoRedefine/>
    <w:uiPriority w:val="39"/>
    <w:unhideWhenUsed/>
    <w:rsid w:val="00AA5A60"/>
    <w:pPr>
      <w:spacing w:before="120" w:after="0"/>
    </w:pPr>
    <w:rPr>
      <w:rFonts w:ascii="Times New Roman" w:hAnsi="Times New Roman"/>
      <w:b/>
      <w:bCs/>
      <w:iCs/>
      <w:sz w:val="24"/>
      <w:szCs w:val="24"/>
    </w:rPr>
  </w:style>
  <w:style w:type="paragraph" w:styleId="TOC2">
    <w:name w:val="toc 2"/>
    <w:basedOn w:val="Normal"/>
    <w:next w:val="Normal"/>
    <w:autoRedefine/>
    <w:uiPriority w:val="39"/>
    <w:unhideWhenUsed/>
    <w:rsid w:val="00AA5A60"/>
    <w:pPr>
      <w:spacing w:before="120" w:after="0"/>
      <w:ind w:left="220"/>
    </w:pPr>
    <w:rPr>
      <w:rFonts w:ascii="Times New Roman" w:hAnsi="Times New Roman"/>
      <w:b/>
      <w:bCs/>
      <w:sz w:val="24"/>
    </w:rPr>
  </w:style>
  <w:style w:type="character" w:styleId="Hyperlink">
    <w:name w:val="Hyperlink"/>
    <w:basedOn w:val="DefaultParagraphFont"/>
    <w:uiPriority w:val="99"/>
    <w:unhideWhenUsed/>
    <w:rsid w:val="001C6487"/>
    <w:rPr>
      <w:color w:val="467886" w:themeColor="hyperlink"/>
      <w:u w:val="single"/>
    </w:rPr>
  </w:style>
  <w:style w:type="paragraph" w:styleId="TOC3">
    <w:name w:val="toc 3"/>
    <w:basedOn w:val="Normal"/>
    <w:next w:val="Normal"/>
    <w:autoRedefine/>
    <w:uiPriority w:val="39"/>
    <w:semiHidden/>
    <w:unhideWhenUsed/>
    <w:rsid w:val="001C6487"/>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1C6487"/>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1C6487"/>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1C6487"/>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1C6487"/>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1C6487"/>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1C6487"/>
    <w:pPr>
      <w:spacing w:after="0"/>
      <w:ind w:left="1760"/>
    </w:pPr>
    <w:rPr>
      <w:rFonts w:asciiTheme="minorHAnsi" w:hAnsiTheme="minorHAnsi"/>
      <w:sz w:val="20"/>
      <w:szCs w:val="20"/>
    </w:rPr>
  </w:style>
  <w:style w:type="paragraph" w:customStyle="1" w:styleId="mb15">
    <w:name w:val="mb15"/>
    <w:basedOn w:val="Normal"/>
    <w:rsid w:val="00E93EA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mb0">
    <w:name w:val="mb0"/>
    <w:basedOn w:val="Normal"/>
    <w:rsid w:val="00E93EA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p2">
    <w:name w:val="p2"/>
    <w:basedOn w:val="Normal"/>
    <w:rsid w:val="00910A69"/>
    <w:pPr>
      <w:spacing w:after="0" w:line="240" w:lineRule="auto"/>
    </w:pPr>
    <w:rPr>
      <w:rFonts w:ascii="Helvetica" w:eastAsia="Times New Roman" w:hAnsi="Helvetica" w:cs="Times New Roman"/>
      <w:color w:val="000000"/>
      <w:sz w:val="10"/>
      <w:szCs w:val="10"/>
      <w:lang w:val="en-GB"/>
    </w:rPr>
  </w:style>
  <w:style w:type="character" w:customStyle="1" w:styleId="s2">
    <w:name w:val="s2"/>
    <w:basedOn w:val="DefaultParagraphFont"/>
    <w:rsid w:val="00910A69"/>
    <w:rPr>
      <w:rFonts w:ascii="Helvetica" w:hAnsi="Helvetica" w:hint="default"/>
      <w:sz w:val="12"/>
      <w:szCs w:val="12"/>
    </w:rPr>
  </w:style>
  <w:style w:type="character" w:customStyle="1" w:styleId="s3">
    <w:name w:val="s3"/>
    <w:basedOn w:val="DefaultParagraphFont"/>
    <w:rsid w:val="00910A69"/>
    <w:rPr>
      <w:rFonts w:ascii="Helvetica" w:hAnsi="Helvetica" w:hint="default"/>
      <w:color w:val="6D6D6D"/>
      <w:sz w:val="12"/>
      <w:szCs w:val="12"/>
    </w:rPr>
  </w:style>
  <w:style w:type="character" w:styleId="UnresolvedMention">
    <w:name w:val="Unresolved Mention"/>
    <w:basedOn w:val="DefaultParagraphFont"/>
    <w:uiPriority w:val="99"/>
    <w:semiHidden/>
    <w:unhideWhenUsed/>
    <w:rsid w:val="00A2604B"/>
    <w:rPr>
      <w:color w:val="605E5C"/>
      <w:shd w:val="clear" w:color="auto" w:fill="E1DFDD"/>
    </w:rPr>
  </w:style>
  <w:style w:type="paragraph" w:customStyle="1" w:styleId="Default">
    <w:name w:val="Default"/>
    <w:rsid w:val="007E7729"/>
    <w:pPr>
      <w:autoSpaceDE w:val="0"/>
      <w:autoSpaceDN w:val="0"/>
      <w:adjustRightInd w:val="0"/>
      <w:spacing w:after="0" w:line="240" w:lineRule="auto"/>
    </w:pPr>
    <w:rPr>
      <w:rFonts w:ascii="Arial" w:hAnsi="Arial" w:cs="Arial"/>
      <w:color w:val="000000"/>
      <w:sz w:val="24"/>
      <w:szCs w:val="24"/>
      <w:lang w:val="en-GB"/>
    </w:rPr>
  </w:style>
  <w:style w:type="paragraph" w:styleId="Caption">
    <w:name w:val="caption"/>
    <w:basedOn w:val="Normal"/>
    <w:next w:val="Normal"/>
    <w:uiPriority w:val="35"/>
    <w:unhideWhenUsed/>
    <w:qFormat/>
    <w:rsid w:val="007A1A76"/>
    <w:pPr>
      <w:spacing w:after="200" w:line="240" w:lineRule="auto"/>
    </w:pPr>
    <w:rPr>
      <w:i/>
      <w:iCs/>
      <w:color w:val="0E2841" w:themeColor="text2"/>
      <w:sz w:val="18"/>
      <w:szCs w:val="18"/>
    </w:rPr>
  </w:style>
  <w:style w:type="character" w:styleId="FollowedHyperlink">
    <w:name w:val="FollowedHyperlink"/>
    <w:basedOn w:val="DefaultParagraphFont"/>
    <w:uiPriority w:val="99"/>
    <w:semiHidden/>
    <w:unhideWhenUsed/>
    <w:rsid w:val="00F10FEF"/>
    <w:rPr>
      <w:color w:val="96607D" w:themeColor="followedHyperlink"/>
      <w:u w:val="single"/>
    </w:rPr>
  </w:style>
  <w:style w:type="paragraph" w:styleId="Revision">
    <w:name w:val="Revision"/>
    <w:hidden/>
    <w:uiPriority w:val="99"/>
    <w:semiHidden/>
    <w:rsid w:val="00302AA2"/>
    <w:pPr>
      <w:spacing w:after="0" w:line="240" w:lineRule="auto"/>
    </w:pPr>
  </w:style>
  <w:style w:type="character" w:styleId="PageNumber">
    <w:name w:val="page number"/>
    <w:basedOn w:val="DefaultParagraphFont"/>
    <w:uiPriority w:val="99"/>
    <w:semiHidden/>
    <w:unhideWhenUsed/>
    <w:rsid w:val="000330C2"/>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customStyle="1" w:styleId="ng-star-inserted">
    <w:name w:val="ng-star-inserted"/>
    <w:basedOn w:val="DefaultParagraphFont"/>
    <w:rsid w:val="0052035F"/>
  </w:style>
  <w:style w:type="paragraph" w:styleId="Subtitle">
    <w:name w:val="Subtitle"/>
    <w:basedOn w:val="Normal"/>
    <w:next w:val="Normal"/>
    <w:link w:val="SubtitleChar"/>
    <w:uiPriority w:val="11"/>
    <w:qFormat/>
    <w:rPr>
      <w:color w:val="595959"/>
      <w:sz w:val="28"/>
      <w:szCs w:val="28"/>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yperlink" Target="mailto:kofi@howellmarine.co.uk"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ublicadministration.desa.un.org/development-roadmap-and-institutional-arrangements-review-and-updating-jamaicas-integrated-coastal"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claire@howellmarine.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7.jp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VS0njB0TWBjHIuJ6WkyalX0nA==">CgMxLjAyDmguZ2ZtZjVkdGptZXB0Mg5oLjZ0eDg3djIwendpYTIOaC5kY3U5MG5vdDdkNzUyDmgucXNlNGY3dnIyZ3Y5Mg5oLnRwYjZiMzZ6ajRldjIOaC45dXdlZm92cnJlcTgyDmguajdqeTNhN2EwNmY1Mg5oLnJiaXB1NXl6Zm94bTIOaC5laHJjaDFoeDFnMzgyDmguM2NhZ28xNjJoendvMg5oLm54ZmhwbnJ2eTl1dzIOaC5yNXN1cXh2MWxxMDQyDmgueDhpZnQ3ZHdqZ29rMg5oLmw2eDNuY3VxaDVkcDIOaC52NGFkdWx3emo5dWQyDmgucjloYmF5ejA5NHFxOAByITFiU292ODZnNWRvdldCUXNZYk5NejYzdzhnN2RBSWEx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5180</Words>
  <Characters>32274</Characters>
  <Application>Microsoft Office Word</Application>
  <DocSecurity>0</DocSecurity>
  <Lines>1403</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Allena Joseph</dc:creator>
  <cp:lastModifiedBy>CRFM Secretariat</cp:lastModifiedBy>
  <cp:revision>7</cp:revision>
  <cp:lastPrinted>2026-05-14T21:49:00Z</cp:lastPrinted>
  <dcterms:created xsi:type="dcterms:W3CDTF">2026-05-14T21:05:00Z</dcterms:created>
  <dcterms:modified xsi:type="dcterms:W3CDTF">2026-05-20T22:38:00Z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0x010100DA4C5EA37AD9C141A39963EE3C795E62</vt:lpwstr>
  </property>
  <property fmtid="{D5CDD505-2E9C-101B-9397-08002B2CF9AE}" pid="3" name="MediaServiceImageTags">
    <vt:lpwstr/>
  </property>
</Properties>
</file>